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DE2B" w14:textId="0FBD80A5"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sidRPr="75552C6C">
        <w:rPr>
          <w:b/>
          <w:bCs/>
          <w:caps/>
          <w:sz w:val="40"/>
          <w:szCs w:val="40"/>
        </w:rPr>
        <w:t xml:space="preserve"> </w:t>
      </w: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3F81406B" w:rsidR="00F62B10" w:rsidRDefault="008451DA">
      <w:pPr>
        <w:jc w:val="center"/>
        <w:rPr>
          <w:b/>
          <w:sz w:val="40"/>
        </w:rPr>
      </w:pPr>
      <w:r>
        <w:rPr>
          <w:b/>
          <w:sz w:val="40"/>
        </w:rPr>
        <w:t>REQUISITI TECNIC</w:t>
      </w:r>
      <w:r w:rsidR="001F59CF">
        <w:rPr>
          <w:b/>
          <w:sz w:val="40"/>
        </w:rPr>
        <w:t>I</w:t>
      </w:r>
      <w:r w:rsidR="001758D6">
        <w:rPr>
          <w:b/>
          <w:sz w:val="40"/>
        </w:rPr>
        <w:t xml:space="preserve"> </w:t>
      </w:r>
      <w:r w:rsidR="00590120">
        <w:rPr>
          <w:b/>
          <w:sz w:val="40"/>
        </w:rPr>
        <w:t xml:space="preserve">– FUNZIONALI </w:t>
      </w: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38FD1A58" w14:textId="77777777" w:rsidR="00671767" w:rsidRDefault="00671767" w:rsidP="001F59CF">
      <w:pPr>
        <w:pStyle w:val="Titolo1"/>
      </w:pPr>
      <w:bookmarkStart w:id="0" w:name="_Toc443562556"/>
      <w:bookmarkStart w:id="1" w:name="_Toc229889265"/>
      <w:bookmarkEnd w:id="0"/>
      <w:bookmarkEnd w:id="1"/>
    </w:p>
    <w:p w14:paraId="6B622AA0" w14:textId="77777777" w:rsidR="00671767" w:rsidRPr="001F59CF" w:rsidRDefault="00671767" w:rsidP="00671767">
      <w:pPr>
        <w:tabs>
          <w:tab w:val="left" w:pos="426"/>
        </w:tabs>
        <w:spacing w:after="120"/>
        <w:jc w:val="both"/>
        <w:rPr>
          <w:rFonts w:ascii="Arial" w:eastAsia="MS Mincho" w:hAnsi="Arial" w:cs="Arial"/>
          <w:b/>
          <w:sz w:val="22"/>
          <w:szCs w:val="22"/>
        </w:rPr>
      </w:pPr>
      <w:r w:rsidRPr="001F59CF">
        <w:rPr>
          <w:rFonts w:ascii="Arial" w:eastAsia="MS Mincho" w:hAnsi="Arial" w:cs="Arial"/>
          <w:b/>
          <w:sz w:val="22"/>
          <w:szCs w:val="22"/>
        </w:rPr>
        <w:t>CONTESTO</w:t>
      </w:r>
    </w:p>
    <w:p w14:paraId="3529E52D" w14:textId="77777777" w:rsidR="00590120" w:rsidRDefault="00590120" w:rsidP="00590120">
      <w:pPr>
        <w:spacing w:after="120"/>
        <w:jc w:val="both"/>
        <w:rPr>
          <w:rFonts w:ascii="Arial" w:eastAsia="MS Mincho" w:hAnsi="Arial" w:cs="Arial"/>
          <w:sz w:val="22"/>
          <w:szCs w:val="22"/>
        </w:rPr>
      </w:pPr>
      <w:r>
        <w:rPr>
          <w:rFonts w:ascii="Arial" w:eastAsia="MS Mincho" w:hAnsi="Arial" w:cs="Arial"/>
          <w:sz w:val="22"/>
          <w:szCs w:val="22"/>
        </w:rPr>
        <w:t xml:space="preserve">Dal 2015 il CSI-Piemonte ha avviato la realizzazione di un SDDC (Software </w:t>
      </w:r>
      <w:proofErr w:type="spellStart"/>
      <w:r>
        <w:rPr>
          <w:rFonts w:ascii="Arial" w:eastAsia="MS Mincho" w:hAnsi="Arial" w:cs="Arial"/>
          <w:sz w:val="22"/>
          <w:szCs w:val="22"/>
        </w:rPr>
        <w:t>Defined</w:t>
      </w:r>
      <w:proofErr w:type="spellEnd"/>
      <w:r>
        <w:rPr>
          <w:rFonts w:ascii="Arial" w:eastAsia="MS Mincho" w:hAnsi="Arial" w:cs="Arial"/>
          <w:sz w:val="22"/>
          <w:szCs w:val="22"/>
        </w:rPr>
        <w:t xml:space="preserve"> Data Center) basato per lo più su tecnologia Open Source, ed in particolare sul progetto </w:t>
      </w:r>
      <w:proofErr w:type="spellStart"/>
      <w:r>
        <w:rPr>
          <w:rFonts w:ascii="Arial" w:eastAsia="MS Mincho" w:hAnsi="Arial" w:cs="Arial"/>
          <w:sz w:val="22"/>
          <w:szCs w:val="22"/>
        </w:rPr>
        <w:t>OpenStack</w:t>
      </w:r>
      <w:proofErr w:type="spellEnd"/>
      <w:r>
        <w:rPr>
          <w:rFonts w:ascii="Arial" w:eastAsia="MS Mincho" w:hAnsi="Arial" w:cs="Arial"/>
          <w:sz w:val="22"/>
          <w:szCs w:val="22"/>
        </w:rPr>
        <w:t xml:space="preserve">. Il software realizzato per la costituzione del SDDC è denominato </w:t>
      </w:r>
      <w:proofErr w:type="spellStart"/>
      <w:r>
        <w:rPr>
          <w:rFonts w:ascii="Arial" w:eastAsia="MS Mincho" w:hAnsi="Arial" w:cs="Arial"/>
          <w:sz w:val="22"/>
          <w:szCs w:val="22"/>
        </w:rPr>
        <w:t>Nivola</w:t>
      </w:r>
      <w:proofErr w:type="spellEnd"/>
      <w:r>
        <w:rPr>
          <w:rFonts w:ascii="Arial" w:eastAsia="MS Mincho" w:hAnsi="Arial" w:cs="Arial"/>
          <w:sz w:val="22"/>
          <w:szCs w:val="22"/>
        </w:rPr>
        <w:t xml:space="preserve">. </w:t>
      </w:r>
    </w:p>
    <w:p w14:paraId="2349B781" w14:textId="5E11A6A1" w:rsidR="00590120" w:rsidRDefault="00590120" w:rsidP="00590120">
      <w:pPr>
        <w:spacing w:line="259" w:lineRule="auto"/>
        <w:jc w:val="both"/>
        <w:rPr>
          <w:rFonts w:ascii="Arial" w:hAnsi="Arial"/>
          <w:sz w:val="22"/>
          <w:szCs w:val="22"/>
        </w:rPr>
      </w:pPr>
      <w:r>
        <w:rPr>
          <w:rFonts w:ascii="Arial" w:hAnsi="Arial"/>
          <w:sz w:val="22"/>
          <w:szCs w:val="22"/>
        </w:rPr>
        <w:t xml:space="preserve">Per dare seguito all’implementazione e allo sviluppo di componenti open source, è stato scelto di  adottare soluzioni di storage (Software </w:t>
      </w:r>
      <w:proofErr w:type="spellStart"/>
      <w:r>
        <w:rPr>
          <w:rFonts w:ascii="Arial" w:hAnsi="Arial"/>
          <w:sz w:val="22"/>
          <w:szCs w:val="22"/>
        </w:rPr>
        <w:t>Defined</w:t>
      </w:r>
      <w:proofErr w:type="spellEnd"/>
      <w:r>
        <w:rPr>
          <w:rFonts w:ascii="Arial" w:hAnsi="Arial"/>
          <w:sz w:val="22"/>
          <w:szCs w:val="22"/>
        </w:rPr>
        <w:t xml:space="preserve"> Storage) in questo contesto, aggiungendo , oltre alle componenti di storage fino ad oggi ospitate su soluzioni commerciali (Block Storage), anche una componente  Storage open source che, per quanto riguarda la componente object storage,  segua lo standard Amazon S3 e, per quanto riguarda la componente block storage, sia fruibile dagli ambienti di virtualizzazione utilizzati dal progetto </w:t>
      </w:r>
      <w:proofErr w:type="spellStart"/>
      <w:r>
        <w:rPr>
          <w:rFonts w:ascii="Arial" w:hAnsi="Arial"/>
          <w:sz w:val="22"/>
          <w:szCs w:val="22"/>
        </w:rPr>
        <w:t>Nivola</w:t>
      </w:r>
      <w:proofErr w:type="spellEnd"/>
      <w:r>
        <w:rPr>
          <w:rFonts w:ascii="Arial" w:hAnsi="Arial"/>
          <w:sz w:val="22"/>
          <w:szCs w:val="22"/>
        </w:rPr>
        <w:t xml:space="preserve"> (</w:t>
      </w:r>
      <w:proofErr w:type="spellStart"/>
      <w:r>
        <w:rPr>
          <w:rFonts w:ascii="Arial" w:hAnsi="Arial"/>
          <w:sz w:val="22"/>
          <w:szCs w:val="22"/>
        </w:rPr>
        <w:t>Openstack</w:t>
      </w:r>
      <w:proofErr w:type="spellEnd"/>
      <w:r>
        <w:rPr>
          <w:rFonts w:ascii="Arial" w:hAnsi="Arial"/>
          <w:sz w:val="22"/>
          <w:szCs w:val="22"/>
        </w:rPr>
        <w:t xml:space="preserve"> e VMware).</w:t>
      </w:r>
    </w:p>
    <w:p w14:paraId="6632555D" w14:textId="77777777" w:rsidR="00590120" w:rsidRDefault="00590120" w:rsidP="00590120">
      <w:pPr>
        <w:spacing w:line="259" w:lineRule="auto"/>
        <w:jc w:val="both"/>
        <w:rPr>
          <w:rFonts w:ascii="Arial" w:hAnsi="Arial"/>
          <w:sz w:val="22"/>
          <w:szCs w:val="22"/>
        </w:rPr>
      </w:pPr>
    </w:p>
    <w:p w14:paraId="300A386F" w14:textId="21EB3E22" w:rsidR="00671767" w:rsidRPr="001F59CF" w:rsidRDefault="00671767" w:rsidP="00671767">
      <w:pPr>
        <w:tabs>
          <w:tab w:val="left" w:pos="426"/>
        </w:tabs>
        <w:spacing w:after="120"/>
        <w:jc w:val="both"/>
        <w:rPr>
          <w:rFonts w:ascii="Arial" w:eastAsia="MS Mincho" w:hAnsi="Arial" w:cs="Arial"/>
          <w:sz w:val="22"/>
          <w:szCs w:val="22"/>
        </w:rPr>
      </w:pPr>
      <w:r w:rsidRPr="001F59CF">
        <w:rPr>
          <w:rFonts w:ascii="Arial" w:eastAsia="MS Mincho" w:hAnsi="Arial" w:cs="Arial"/>
          <w:sz w:val="22"/>
          <w:szCs w:val="22"/>
        </w:rPr>
        <w:t xml:space="preserve">L’adozione di una piattaforma di storage opensource </w:t>
      </w:r>
      <w:proofErr w:type="spellStart"/>
      <w:r w:rsidR="00590120">
        <w:rPr>
          <w:rFonts w:ascii="Arial" w:eastAsia="MS Mincho" w:hAnsi="Arial" w:cs="Arial"/>
          <w:sz w:val="22"/>
          <w:szCs w:val="22"/>
        </w:rPr>
        <w:t>C</w:t>
      </w:r>
      <w:r w:rsidRPr="001F59CF">
        <w:rPr>
          <w:rFonts w:ascii="Arial" w:eastAsia="MS Mincho" w:hAnsi="Arial" w:cs="Arial"/>
          <w:sz w:val="22"/>
          <w:szCs w:val="22"/>
        </w:rPr>
        <w:t>eph</w:t>
      </w:r>
      <w:proofErr w:type="spellEnd"/>
      <w:r w:rsidRPr="001F59CF">
        <w:rPr>
          <w:rFonts w:ascii="Arial" w:eastAsia="MS Mincho" w:hAnsi="Arial" w:cs="Arial"/>
          <w:sz w:val="22"/>
          <w:szCs w:val="22"/>
        </w:rPr>
        <w:t xml:space="preserve">, oltre ad implementare le funzionalità object storage standard Amazon S3, deve consentire la fruizione dei servizi di block storage sia da parte di </w:t>
      </w:r>
      <w:proofErr w:type="spellStart"/>
      <w:r w:rsidRPr="001F59CF">
        <w:rPr>
          <w:rFonts w:ascii="Arial" w:eastAsia="MS Mincho" w:hAnsi="Arial" w:cs="Arial"/>
          <w:sz w:val="22"/>
          <w:szCs w:val="22"/>
        </w:rPr>
        <w:t>openstack</w:t>
      </w:r>
      <w:proofErr w:type="spellEnd"/>
      <w:r w:rsidRPr="001F59CF">
        <w:rPr>
          <w:rFonts w:ascii="Arial" w:eastAsia="MS Mincho" w:hAnsi="Arial" w:cs="Arial"/>
          <w:sz w:val="22"/>
          <w:szCs w:val="22"/>
        </w:rPr>
        <w:t xml:space="preserve"> (remote </w:t>
      </w:r>
      <w:proofErr w:type="spellStart"/>
      <w:r w:rsidRPr="001F59CF">
        <w:rPr>
          <w:rFonts w:ascii="Arial" w:eastAsia="MS Mincho" w:hAnsi="Arial" w:cs="Arial"/>
          <w:sz w:val="22"/>
          <w:szCs w:val="22"/>
        </w:rPr>
        <w:t>block</w:t>
      </w:r>
      <w:proofErr w:type="spellEnd"/>
      <w:r w:rsidRPr="001F59CF">
        <w:rPr>
          <w:rFonts w:ascii="Arial" w:eastAsia="MS Mincho" w:hAnsi="Arial" w:cs="Arial"/>
          <w:sz w:val="22"/>
          <w:szCs w:val="22"/>
        </w:rPr>
        <w:t xml:space="preserve"> device) sia da parte di VMware (</w:t>
      </w:r>
      <w:proofErr w:type="spellStart"/>
      <w:r w:rsidRPr="001F59CF">
        <w:rPr>
          <w:rFonts w:ascii="Arial" w:eastAsia="MS Mincho" w:hAnsi="Arial" w:cs="Arial"/>
          <w:sz w:val="22"/>
          <w:szCs w:val="22"/>
        </w:rPr>
        <w:t>iscsi</w:t>
      </w:r>
      <w:proofErr w:type="spellEnd"/>
      <w:r w:rsidRPr="001F59CF">
        <w:rPr>
          <w:rFonts w:ascii="Arial" w:eastAsia="MS Mincho" w:hAnsi="Arial" w:cs="Arial"/>
          <w:sz w:val="22"/>
          <w:szCs w:val="22"/>
        </w:rPr>
        <w:t xml:space="preserve"> gateway).</w:t>
      </w:r>
    </w:p>
    <w:p w14:paraId="1323BAFE" w14:textId="77777777" w:rsidR="00671767" w:rsidRPr="001F59CF" w:rsidRDefault="00671767" w:rsidP="00671767">
      <w:pPr>
        <w:tabs>
          <w:tab w:val="left" w:pos="426"/>
        </w:tabs>
        <w:spacing w:after="120"/>
        <w:jc w:val="both"/>
        <w:rPr>
          <w:rFonts w:ascii="Arial" w:hAnsi="Arial" w:cs="Arial"/>
          <w:sz w:val="22"/>
          <w:szCs w:val="22"/>
        </w:rPr>
      </w:pPr>
      <w:r w:rsidRPr="001F59CF">
        <w:rPr>
          <w:rFonts w:ascii="Arial" w:eastAsia="MS Mincho" w:hAnsi="Arial" w:cs="Arial"/>
          <w:sz w:val="22"/>
          <w:szCs w:val="22"/>
        </w:rPr>
        <w:t xml:space="preserve">Sono anche richieste le funzionalità di replica dell’object e del block storage fra le tre </w:t>
      </w:r>
      <w:proofErr w:type="spellStart"/>
      <w:r w:rsidRPr="001F59CF">
        <w:rPr>
          <w:rFonts w:ascii="Arial" w:eastAsia="MS Mincho" w:hAnsi="Arial" w:cs="Arial"/>
          <w:sz w:val="22"/>
          <w:szCs w:val="22"/>
        </w:rPr>
        <w:t>availability</w:t>
      </w:r>
      <w:proofErr w:type="spellEnd"/>
      <w:r w:rsidRPr="001F59CF">
        <w:rPr>
          <w:rFonts w:ascii="Arial" w:eastAsia="MS Mincho" w:hAnsi="Arial" w:cs="Arial"/>
          <w:sz w:val="22"/>
          <w:szCs w:val="22"/>
        </w:rPr>
        <w:t xml:space="preserve"> zones.</w:t>
      </w:r>
    </w:p>
    <w:p w14:paraId="5CC94C62" w14:textId="77777777" w:rsidR="00671767" w:rsidRPr="001F59CF" w:rsidRDefault="00671767" w:rsidP="00671767">
      <w:pPr>
        <w:tabs>
          <w:tab w:val="left" w:pos="426"/>
        </w:tabs>
        <w:spacing w:after="120"/>
        <w:jc w:val="both"/>
        <w:rPr>
          <w:rFonts w:ascii="Arial" w:eastAsia="MS Mincho" w:hAnsi="Arial" w:cs="Arial"/>
          <w:sz w:val="22"/>
          <w:szCs w:val="22"/>
        </w:rPr>
      </w:pPr>
      <w:r w:rsidRPr="001F59CF">
        <w:rPr>
          <w:rFonts w:ascii="Arial" w:eastAsia="MS Mincho" w:hAnsi="Arial" w:cs="Arial"/>
          <w:sz w:val="22"/>
          <w:szCs w:val="22"/>
        </w:rPr>
        <w:t xml:space="preserve">Le </w:t>
      </w:r>
      <w:proofErr w:type="spellStart"/>
      <w:r w:rsidRPr="001F59CF">
        <w:rPr>
          <w:rFonts w:ascii="Arial" w:eastAsia="MS Mincho" w:hAnsi="Arial" w:cs="Arial"/>
          <w:sz w:val="22"/>
          <w:szCs w:val="22"/>
        </w:rPr>
        <w:t>availiability</w:t>
      </w:r>
      <w:proofErr w:type="spellEnd"/>
      <w:r w:rsidRPr="001F59CF">
        <w:rPr>
          <w:rFonts w:ascii="Arial" w:eastAsia="MS Mincho" w:hAnsi="Arial" w:cs="Arial"/>
          <w:sz w:val="22"/>
          <w:szCs w:val="22"/>
        </w:rPr>
        <w:t xml:space="preserve"> zones sono 3 (due a Torino presso il CED del CSI Piemonte e una a Vercelli), tutte collegate fra loro con link a 10 </w:t>
      </w:r>
      <w:proofErr w:type="spellStart"/>
      <w:r w:rsidRPr="001F59CF">
        <w:rPr>
          <w:rFonts w:ascii="Arial" w:eastAsia="MS Mincho" w:hAnsi="Arial" w:cs="Arial"/>
          <w:sz w:val="22"/>
          <w:szCs w:val="22"/>
        </w:rPr>
        <w:t>Gbps</w:t>
      </w:r>
      <w:proofErr w:type="spellEnd"/>
      <w:r w:rsidRPr="001F59CF">
        <w:rPr>
          <w:rFonts w:ascii="Arial" w:eastAsia="MS Mincho" w:hAnsi="Arial" w:cs="Arial"/>
          <w:sz w:val="22"/>
          <w:szCs w:val="22"/>
        </w:rPr>
        <w:t>.</w:t>
      </w:r>
    </w:p>
    <w:p w14:paraId="31842897" w14:textId="77777777" w:rsidR="00671767" w:rsidRPr="001F59CF" w:rsidRDefault="00671767" w:rsidP="00671767">
      <w:pPr>
        <w:tabs>
          <w:tab w:val="left" w:pos="426"/>
        </w:tabs>
        <w:spacing w:after="120"/>
        <w:jc w:val="both"/>
        <w:rPr>
          <w:rFonts w:ascii="Arial" w:eastAsia="MS Mincho" w:hAnsi="Arial" w:cs="Arial"/>
          <w:sz w:val="22"/>
          <w:szCs w:val="22"/>
        </w:rPr>
      </w:pPr>
      <w:r w:rsidRPr="001F59CF">
        <w:rPr>
          <w:rFonts w:ascii="Arial" w:eastAsia="MS Mincho" w:hAnsi="Arial" w:cs="Arial"/>
          <w:sz w:val="22"/>
          <w:szCs w:val="22"/>
        </w:rPr>
        <w:t xml:space="preserve">Ogni </w:t>
      </w:r>
      <w:proofErr w:type="spellStart"/>
      <w:r w:rsidRPr="001F59CF">
        <w:rPr>
          <w:rFonts w:ascii="Arial" w:eastAsia="MS Mincho" w:hAnsi="Arial" w:cs="Arial"/>
          <w:sz w:val="22"/>
          <w:szCs w:val="22"/>
        </w:rPr>
        <w:t>availability</w:t>
      </w:r>
      <w:proofErr w:type="spellEnd"/>
      <w:r w:rsidRPr="001F59CF">
        <w:rPr>
          <w:rFonts w:ascii="Arial" w:eastAsia="MS Mincho" w:hAnsi="Arial" w:cs="Arial"/>
          <w:sz w:val="22"/>
          <w:szCs w:val="22"/>
        </w:rPr>
        <w:t xml:space="preserve"> zone comprende una installazione </w:t>
      </w:r>
      <w:proofErr w:type="spellStart"/>
      <w:r w:rsidRPr="001F59CF">
        <w:rPr>
          <w:rFonts w:ascii="Arial" w:eastAsia="MS Mincho" w:hAnsi="Arial" w:cs="Arial"/>
          <w:sz w:val="22"/>
          <w:szCs w:val="22"/>
        </w:rPr>
        <w:t>vcenter</w:t>
      </w:r>
      <w:proofErr w:type="spellEnd"/>
      <w:r w:rsidRPr="001F59CF">
        <w:rPr>
          <w:rFonts w:ascii="Arial" w:eastAsia="MS Mincho" w:hAnsi="Arial" w:cs="Arial"/>
          <w:sz w:val="22"/>
          <w:szCs w:val="22"/>
        </w:rPr>
        <w:t xml:space="preserve"> e </w:t>
      </w:r>
      <w:proofErr w:type="spellStart"/>
      <w:r w:rsidRPr="001F59CF">
        <w:rPr>
          <w:rFonts w:ascii="Arial" w:eastAsia="MS Mincho" w:hAnsi="Arial" w:cs="Arial"/>
          <w:sz w:val="22"/>
          <w:szCs w:val="22"/>
        </w:rPr>
        <w:t>openstack</w:t>
      </w:r>
      <w:proofErr w:type="spellEnd"/>
      <w:r w:rsidRPr="001F59CF">
        <w:rPr>
          <w:rFonts w:ascii="Arial" w:eastAsia="MS Mincho" w:hAnsi="Arial" w:cs="Arial"/>
          <w:sz w:val="22"/>
          <w:szCs w:val="22"/>
        </w:rPr>
        <w:t xml:space="preserve"> distinte dalle altre.</w:t>
      </w:r>
    </w:p>
    <w:p w14:paraId="3615EC4B" w14:textId="6D39FC79" w:rsidR="00671767" w:rsidRPr="001F59CF" w:rsidRDefault="00671767" w:rsidP="00671767">
      <w:pPr>
        <w:tabs>
          <w:tab w:val="left" w:pos="426"/>
        </w:tabs>
        <w:spacing w:after="120"/>
        <w:jc w:val="both"/>
        <w:rPr>
          <w:rFonts w:ascii="Arial" w:hAnsi="Arial" w:cs="Arial"/>
          <w:sz w:val="22"/>
          <w:szCs w:val="22"/>
        </w:rPr>
      </w:pPr>
      <w:r w:rsidRPr="001F59CF">
        <w:rPr>
          <w:rFonts w:ascii="Arial" w:eastAsia="MS Mincho" w:hAnsi="Arial" w:cs="Arial"/>
          <w:sz w:val="22"/>
          <w:szCs w:val="22"/>
        </w:rPr>
        <w:t xml:space="preserve">La </w:t>
      </w:r>
      <w:proofErr w:type="spellStart"/>
      <w:r w:rsidRPr="001F59CF">
        <w:rPr>
          <w:rFonts w:ascii="Arial" w:eastAsia="MS Mincho" w:hAnsi="Arial" w:cs="Arial"/>
          <w:sz w:val="22"/>
          <w:szCs w:val="22"/>
        </w:rPr>
        <w:t>availability</w:t>
      </w:r>
      <w:proofErr w:type="spellEnd"/>
      <w:r w:rsidRPr="001F59CF">
        <w:rPr>
          <w:rFonts w:ascii="Arial" w:eastAsia="MS Mincho" w:hAnsi="Arial" w:cs="Arial"/>
          <w:sz w:val="22"/>
          <w:szCs w:val="22"/>
        </w:rPr>
        <w:t xml:space="preserve"> zone di Torino avrà un solo cluster </w:t>
      </w:r>
      <w:proofErr w:type="spellStart"/>
      <w:r w:rsidRPr="001F59CF">
        <w:rPr>
          <w:rFonts w:ascii="Arial" w:eastAsia="MS Mincho" w:hAnsi="Arial" w:cs="Arial"/>
          <w:sz w:val="22"/>
          <w:szCs w:val="22"/>
        </w:rPr>
        <w:t>Ceph</w:t>
      </w:r>
      <w:proofErr w:type="spellEnd"/>
      <w:r w:rsidRPr="001F59CF">
        <w:rPr>
          <w:rFonts w:ascii="Arial" w:eastAsia="MS Mincho" w:hAnsi="Arial" w:cs="Arial"/>
          <w:sz w:val="22"/>
          <w:szCs w:val="22"/>
        </w:rPr>
        <w:t xml:space="preserve"> composto da 12 nodi condiviso fra due </w:t>
      </w:r>
      <w:proofErr w:type="spellStart"/>
      <w:r w:rsidRPr="001F59CF">
        <w:rPr>
          <w:rFonts w:ascii="Arial" w:eastAsia="MS Mincho" w:hAnsi="Arial" w:cs="Arial"/>
          <w:sz w:val="22"/>
          <w:szCs w:val="22"/>
        </w:rPr>
        <w:t>openstack</w:t>
      </w:r>
      <w:proofErr w:type="spellEnd"/>
      <w:r w:rsidRPr="001F59CF">
        <w:rPr>
          <w:rFonts w:ascii="Arial" w:eastAsia="MS Mincho" w:hAnsi="Arial" w:cs="Arial"/>
          <w:sz w:val="22"/>
          <w:szCs w:val="22"/>
        </w:rPr>
        <w:t xml:space="preserve"> differenti, mentre quella di Vercelli avrà un cluster </w:t>
      </w:r>
      <w:proofErr w:type="spellStart"/>
      <w:r w:rsidRPr="001F59CF">
        <w:rPr>
          <w:rFonts w:ascii="Arial" w:eastAsia="MS Mincho" w:hAnsi="Arial" w:cs="Arial"/>
          <w:sz w:val="22"/>
          <w:szCs w:val="22"/>
        </w:rPr>
        <w:t>Ceph</w:t>
      </w:r>
      <w:proofErr w:type="spellEnd"/>
      <w:r w:rsidRPr="001F59CF">
        <w:rPr>
          <w:rFonts w:ascii="Arial" w:eastAsia="MS Mincho" w:hAnsi="Arial" w:cs="Arial"/>
          <w:sz w:val="22"/>
          <w:szCs w:val="22"/>
        </w:rPr>
        <w:t xml:space="preserve"> composto da 7 nodi. Nell’ambito di questo contesto il CSI Piemonte si è già dotato di 19 server per un totale di 380 </w:t>
      </w:r>
      <w:proofErr w:type="spellStart"/>
      <w:r w:rsidRPr="001F59CF">
        <w:rPr>
          <w:rFonts w:ascii="Arial" w:eastAsia="MS Mincho" w:hAnsi="Arial" w:cs="Arial"/>
          <w:sz w:val="22"/>
          <w:szCs w:val="22"/>
        </w:rPr>
        <w:t>osd</w:t>
      </w:r>
      <w:proofErr w:type="spellEnd"/>
      <w:r w:rsidRPr="001F59CF">
        <w:rPr>
          <w:rFonts w:ascii="Arial" w:eastAsia="MS Mincho" w:hAnsi="Arial" w:cs="Arial"/>
          <w:sz w:val="22"/>
          <w:szCs w:val="22"/>
        </w:rPr>
        <w:t>.</w:t>
      </w:r>
    </w:p>
    <w:p w14:paraId="0216BF02" w14:textId="77777777" w:rsidR="00671767" w:rsidRPr="001F59CF" w:rsidRDefault="00671767" w:rsidP="00671767">
      <w:pPr>
        <w:tabs>
          <w:tab w:val="left" w:pos="426"/>
        </w:tabs>
        <w:spacing w:after="120"/>
        <w:jc w:val="both"/>
        <w:rPr>
          <w:rFonts w:ascii="Arial" w:hAnsi="Arial" w:cs="Arial"/>
          <w:sz w:val="22"/>
          <w:szCs w:val="22"/>
        </w:rPr>
      </w:pPr>
      <w:proofErr w:type="gramStart"/>
      <w:r w:rsidRPr="001F59CF">
        <w:rPr>
          <w:rFonts w:ascii="Arial" w:eastAsia="MS Mincho" w:hAnsi="Arial" w:cs="Arial"/>
          <w:sz w:val="22"/>
          <w:szCs w:val="22"/>
        </w:rPr>
        <w:t>In particolare</w:t>
      </w:r>
      <w:proofErr w:type="gramEnd"/>
      <w:r w:rsidRPr="001F59CF">
        <w:rPr>
          <w:rFonts w:ascii="Arial" w:eastAsia="MS Mincho" w:hAnsi="Arial" w:cs="Arial"/>
          <w:sz w:val="22"/>
          <w:szCs w:val="22"/>
        </w:rPr>
        <w:t xml:space="preserve"> le funzionalità di </w:t>
      </w:r>
      <w:proofErr w:type="spellStart"/>
      <w:r w:rsidRPr="001F59CF">
        <w:rPr>
          <w:rFonts w:ascii="Arial" w:eastAsia="MS Mincho" w:hAnsi="Arial" w:cs="Arial"/>
          <w:sz w:val="22"/>
          <w:szCs w:val="22"/>
        </w:rPr>
        <w:t>rbd-mirror</w:t>
      </w:r>
      <w:proofErr w:type="spellEnd"/>
      <w:r w:rsidRPr="001F59CF">
        <w:rPr>
          <w:rFonts w:ascii="Arial" w:eastAsia="MS Mincho" w:hAnsi="Arial" w:cs="Arial"/>
          <w:sz w:val="22"/>
          <w:szCs w:val="22"/>
        </w:rPr>
        <w:t xml:space="preserve"> per la replica dei volumi </w:t>
      </w:r>
      <w:proofErr w:type="spellStart"/>
      <w:r w:rsidRPr="001F59CF">
        <w:rPr>
          <w:rFonts w:ascii="Arial" w:eastAsia="MS Mincho" w:hAnsi="Arial" w:cs="Arial"/>
          <w:sz w:val="22"/>
          <w:szCs w:val="22"/>
        </w:rPr>
        <w:t>openstack</w:t>
      </w:r>
      <w:proofErr w:type="spellEnd"/>
      <w:r w:rsidRPr="001F59CF">
        <w:rPr>
          <w:rFonts w:ascii="Arial" w:eastAsia="MS Mincho" w:hAnsi="Arial" w:cs="Arial"/>
          <w:sz w:val="22"/>
          <w:szCs w:val="22"/>
        </w:rPr>
        <w:t xml:space="preserve">, dovrà avvenire da almeno un pool del cluster di Torino verso Vercelli, e da almeno un pool del cluster di Vercelli verso Torino ed inoltre dovrà essere attivata replica </w:t>
      </w:r>
      <w:proofErr w:type="spellStart"/>
      <w:r w:rsidRPr="001F59CF">
        <w:rPr>
          <w:rFonts w:ascii="Arial" w:eastAsia="MS Mincho" w:hAnsi="Arial" w:cs="Arial"/>
          <w:sz w:val="22"/>
          <w:szCs w:val="22"/>
        </w:rPr>
        <w:t>multisite</w:t>
      </w:r>
      <w:proofErr w:type="spellEnd"/>
      <w:r w:rsidRPr="001F59CF">
        <w:rPr>
          <w:rFonts w:ascii="Arial" w:eastAsia="MS Mincho" w:hAnsi="Arial" w:cs="Arial"/>
          <w:sz w:val="22"/>
          <w:szCs w:val="22"/>
        </w:rPr>
        <w:t xml:space="preserve"> </w:t>
      </w:r>
      <w:proofErr w:type="spellStart"/>
      <w:r w:rsidRPr="001F59CF">
        <w:rPr>
          <w:rFonts w:ascii="Arial" w:eastAsia="MS Mincho" w:hAnsi="Arial" w:cs="Arial"/>
          <w:sz w:val="22"/>
          <w:szCs w:val="22"/>
        </w:rPr>
        <w:t>dell’object</w:t>
      </w:r>
      <w:proofErr w:type="spellEnd"/>
      <w:r w:rsidRPr="001F59CF">
        <w:rPr>
          <w:rFonts w:ascii="Arial" w:eastAsia="MS Mincho" w:hAnsi="Arial" w:cs="Arial"/>
          <w:sz w:val="22"/>
          <w:szCs w:val="22"/>
        </w:rPr>
        <w:t xml:space="preserve"> storage.</w:t>
      </w:r>
    </w:p>
    <w:p w14:paraId="3DAA6753" w14:textId="77777777" w:rsidR="00671767" w:rsidRPr="001F59CF" w:rsidRDefault="00671767" w:rsidP="00671767">
      <w:pPr>
        <w:tabs>
          <w:tab w:val="left" w:pos="426"/>
        </w:tabs>
        <w:spacing w:after="120"/>
        <w:jc w:val="both"/>
        <w:rPr>
          <w:rFonts w:ascii="Arial" w:eastAsia="MS Mincho" w:hAnsi="Arial" w:cs="Arial"/>
          <w:sz w:val="22"/>
          <w:szCs w:val="22"/>
        </w:rPr>
      </w:pPr>
      <w:r w:rsidRPr="001F59CF">
        <w:rPr>
          <w:rFonts w:ascii="Arial" w:eastAsia="MS Mincho" w:hAnsi="Arial" w:cs="Arial"/>
          <w:sz w:val="22"/>
          <w:szCs w:val="22"/>
        </w:rPr>
        <w:t>A titolo esemplificativo attualmente il Consorzio è dotato di server con le seguenti caratteristiche:</w:t>
      </w:r>
    </w:p>
    <w:p w14:paraId="4D4AAC74" w14:textId="77777777" w:rsidR="00671767" w:rsidRPr="001F59CF" w:rsidRDefault="00671767" w:rsidP="00671767">
      <w:pPr>
        <w:spacing w:after="120"/>
        <w:jc w:val="both"/>
        <w:rPr>
          <w:rFonts w:ascii="Arial" w:eastAsia="MS Mincho" w:hAnsi="Arial" w:cs="Arial"/>
          <w:color w:val="000000"/>
          <w:sz w:val="22"/>
          <w:szCs w:val="22"/>
          <w:u w:val="single"/>
        </w:rPr>
      </w:pPr>
    </w:p>
    <w:tbl>
      <w:tblPr>
        <w:tblW w:w="8504" w:type="dxa"/>
        <w:tblInd w:w="55"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4A0" w:firstRow="1" w:lastRow="0" w:firstColumn="1" w:lastColumn="0" w:noHBand="0" w:noVBand="1"/>
      </w:tblPr>
      <w:tblGrid>
        <w:gridCol w:w="4251"/>
        <w:gridCol w:w="4253"/>
      </w:tblGrid>
      <w:tr w:rsidR="00671767" w:rsidRPr="001F59CF" w14:paraId="11D879E2" w14:textId="77777777" w:rsidTr="00233CA8">
        <w:tc>
          <w:tcPr>
            <w:tcW w:w="4251" w:type="dxa"/>
            <w:tcBorders>
              <w:top w:val="single" w:sz="2" w:space="0" w:color="000000"/>
              <w:left w:val="single" w:sz="2" w:space="0" w:color="000000"/>
              <w:bottom w:val="single" w:sz="2" w:space="0" w:color="000000"/>
            </w:tcBorders>
            <w:shd w:val="clear" w:color="auto" w:fill="auto"/>
          </w:tcPr>
          <w:p w14:paraId="44C6ABB1"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Modello</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14B57F11"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 xml:space="preserve">Dell </w:t>
            </w:r>
            <w:proofErr w:type="spellStart"/>
            <w:r w:rsidRPr="001F59CF">
              <w:rPr>
                <w:rFonts w:ascii="Arial" w:eastAsia="MS Mincho" w:hAnsi="Arial" w:cs="Arial"/>
                <w:sz w:val="22"/>
                <w:szCs w:val="22"/>
              </w:rPr>
              <w:t>Poweredge</w:t>
            </w:r>
            <w:proofErr w:type="spellEnd"/>
            <w:r w:rsidRPr="001F59CF">
              <w:rPr>
                <w:rFonts w:ascii="Arial" w:eastAsia="MS Mincho" w:hAnsi="Arial" w:cs="Arial"/>
                <w:sz w:val="22"/>
                <w:szCs w:val="22"/>
              </w:rPr>
              <w:t xml:space="preserve"> R7425</w:t>
            </w:r>
          </w:p>
        </w:tc>
      </w:tr>
      <w:tr w:rsidR="00671767" w:rsidRPr="001F59CF" w14:paraId="5E87BFB8" w14:textId="77777777" w:rsidTr="00233CA8">
        <w:tc>
          <w:tcPr>
            <w:tcW w:w="4251" w:type="dxa"/>
            <w:tcBorders>
              <w:top w:val="single" w:sz="2" w:space="0" w:color="000000"/>
              <w:left w:val="single" w:sz="2" w:space="0" w:color="000000"/>
              <w:bottom w:val="single" w:sz="2" w:space="0" w:color="000000"/>
            </w:tcBorders>
            <w:shd w:val="clear" w:color="auto" w:fill="auto"/>
          </w:tcPr>
          <w:p w14:paraId="38C88A40"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Cpu</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006C871B"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2 processori AMD EPYC™ 7301 2.2GHz/2.7GHz, 16C/32T, 64M Cache (155W/170</w:t>
            </w:r>
          </w:p>
        </w:tc>
      </w:tr>
      <w:tr w:rsidR="00671767" w:rsidRPr="001F59CF" w14:paraId="1BB7D6A7" w14:textId="77777777" w:rsidTr="00233CA8">
        <w:tc>
          <w:tcPr>
            <w:tcW w:w="4251" w:type="dxa"/>
            <w:tcBorders>
              <w:top w:val="single" w:sz="2" w:space="0" w:color="000000"/>
              <w:left w:val="single" w:sz="2" w:space="0" w:color="000000"/>
              <w:bottom w:val="single" w:sz="2" w:space="0" w:color="000000"/>
            </w:tcBorders>
            <w:shd w:val="clear" w:color="auto" w:fill="auto"/>
          </w:tcPr>
          <w:p w14:paraId="18D2D66E"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RAM</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6B78FE12"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256 GB W) DDR4-2400/2666</w:t>
            </w:r>
          </w:p>
        </w:tc>
      </w:tr>
      <w:tr w:rsidR="00671767" w:rsidRPr="001F59CF" w14:paraId="2B10FB34" w14:textId="77777777" w:rsidTr="00233CA8">
        <w:tc>
          <w:tcPr>
            <w:tcW w:w="4251" w:type="dxa"/>
            <w:tcBorders>
              <w:top w:val="single" w:sz="2" w:space="0" w:color="000000"/>
              <w:left w:val="single" w:sz="2" w:space="0" w:color="000000"/>
              <w:bottom w:val="single" w:sz="2" w:space="0" w:color="000000"/>
            </w:tcBorders>
            <w:shd w:val="clear" w:color="auto" w:fill="auto"/>
          </w:tcPr>
          <w:p w14:paraId="76B27D89"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Controller SAS</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3886EBCD"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 xml:space="preserve">PERC H730P RAID Controller, 2Gb NV Cache, Adapter, Full </w:t>
            </w:r>
            <w:proofErr w:type="spellStart"/>
            <w:r w:rsidRPr="001F59CF">
              <w:rPr>
                <w:rFonts w:ascii="Arial" w:eastAsia="MS Mincho" w:hAnsi="Arial" w:cs="Arial"/>
                <w:sz w:val="22"/>
                <w:szCs w:val="22"/>
              </w:rPr>
              <w:t>Height</w:t>
            </w:r>
            <w:proofErr w:type="spellEnd"/>
          </w:p>
        </w:tc>
      </w:tr>
      <w:tr w:rsidR="00671767" w:rsidRPr="001F59CF" w14:paraId="4251CCEE" w14:textId="77777777" w:rsidTr="00233CA8">
        <w:tc>
          <w:tcPr>
            <w:tcW w:w="4251" w:type="dxa"/>
            <w:tcBorders>
              <w:top w:val="single" w:sz="2" w:space="0" w:color="000000"/>
              <w:left w:val="single" w:sz="2" w:space="0" w:color="000000"/>
              <w:bottom w:val="single" w:sz="2" w:space="0" w:color="000000"/>
            </w:tcBorders>
            <w:shd w:val="clear" w:color="auto" w:fill="auto"/>
          </w:tcPr>
          <w:p w14:paraId="4581CAAA"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Dischi Sistema operativo</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1F48AE42"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2 dischi SAS da 600G</w:t>
            </w:r>
          </w:p>
        </w:tc>
      </w:tr>
      <w:tr w:rsidR="00671767" w:rsidRPr="001F59CF" w14:paraId="39CEAD72" w14:textId="77777777" w:rsidTr="00233CA8">
        <w:tc>
          <w:tcPr>
            <w:tcW w:w="4251" w:type="dxa"/>
            <w:tcBorders>
              <w:top w:val="single" w:sz="2" w:space="0" w:color="000000"/>
              <w:left w:val="single" w:sz="2" w:space="0" w:color="000000"/>
              <w:bottom w:val="single" w:sz="2" w:space="0" w:color="000000"/>
            </w:tcBorders>
            <w:shd w:val="clear" w:color="auto" w:fill="auto"/>
          </w:tcPr>
          <w:p w14:paraId="572F8DB7"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Dischi SSD</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565C9BB7"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2 x 1.92TB SSD SAS Read Intensive 12Gbps 512e 2.5in Hot-plug Drive, PM1633a</w:t>
            </w:r>
          </w:p>
        </w:tc>
      </w:tr>
      <w:tr w:rsidR="00671767" w:rsidRPr="001F59CF" w14:paraId="6C71177D" w14:textId="77777777" w:rsidTr="00233CA8">
        <w:tc>
          <w:tcPr>
            <w:tcW w:w="4251" w:type="dxa"/>
            <w:tcBorders>
              <w:top w:val="single" w:sz="2" w:space="0" w:color="000000"/>
              <w:left w:val="single" w:sz="2" w:space="0" w:color="000000"/>
              <w:bottom w:val="single" w:sz="2" w:space="0" w:color="000000"/>
            </w:tcBorders>
            <w:shd w:val="clear" w:color="auto" w:fill="auto"/>
          </w:tcPr>
          <w:p w14:paraId="48E0D2D1"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NVME</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7404850C"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 xml:space="preserve">2 x 403-BCCE Dell 1.6TB, </w:t>
            </w:r>
            <w:proofErr w:type="spellStart"/>
            <w:r w:rsidRPr="001F59CF">
              <w:rPr>
                <w:rFonts w:ascii="Arial" w:eastAsia="MS Mincho" w:hAnsi="Arial" w:cs="Arial"/>
                <w:sz w:val="22"/>
                <w:szCs w:val="22"/>
              </w:rPr>
              <w:t>NVMe</w:t>
            </w:r>
            <w:proofErr w:type="spellEnd"/>
            <w:r w:rsidRPr="001F59CF">
              <w:rPr>
                <w:rFonts w:ascii="Arial" w:eastAsia="MS Mincho" w:hAnsi="Arial" w:cs="Arial"/>
                <w:sz w:val="22"/>
                <w:szCs w:val="22"/>
              </w:rPr>
              <w:t>, Mixed Use Express Flash, HHHL, AIC PM1725b</w:t>
            </w:r>
          </w:p>
        </w:tc>
      </w:tr>
      <w:tr w:rsidR="00671767" w:rsidRPr="001F59CF" w14:paraId="4295A2A4" w14:textId="77777777" w:rsidTr="00233CA8">
        <w:trPr>
          <w:trHeight w:val="391"/>
        </w:trPr>
        <w:tc>
          <w:tcPr>
            <w:tcW w:w="4251" w:type="dxa"/>
            <w:tcBorders>
              <w:top w:val="single" w:sz="2" w:space="0" w:color="000000"/>
              <w:left w:val="single" w:sz="2" w:space="0" w:color="000000"/>
              <w:bottom w:val="single" w:sz="2" w:space="0" w:color="000000"/>
            </w:tcBorders>
            <w:shd w:val="clear" w:color="auto" w:fill="auto"/>
          </w:tcPr>
          <w:p w14:paraId="499F199C"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Dischi OSD</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77A6519B"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 xml:space="preserve">20 dischi SAS 10K </w:t>
            </w:r>
            <w:proofErr w:type="spellStart"/>
            <w:r w:rsidRPr="001F59CF">
              <w:rPr>
                <w:rFonts w:ascii="Arial" w:eastAsia="MS Mincho" w:hAnsi="Arial" w:cs="Arial"/>
                <w:sz w:val="22"/>
                <w:szCs w:val="22"/>
              </w:rPr>
              <w:t>rpm</w:t>
            </w:r>
            <w:proofErr w:type="spellEnd"/>
            <w:r w:rsidRPr="001F59CF">
              <w:rPr>
                <w:rFonts w:ascii="Arial" w:eastAsia="MS Mincho" w:hAnsi="Arial" w:cs="Arial"/>
                <w:sz w:val="22"/>
                <w:szCs w:val="22"/>
              </w:rPr>
              <w:t xml:space="preserve"> da 1,7T</w:t>
            </w:r>
          </w:p>
        </w:tc>
      </w:tr>
      <w:tr w:rsidR="00671767" w:rsidRPr="001F59CF" w14:paraId="491D4FC3" w14:textId="77777777" w:rsidTr="00233CA8">
        <w:trPr>
          <w:trHeight w:val="391"/>
        </w:trPr>
        <w:tc>
          <w:tcPr>
            <w:tcW w:w="4251" w:type="dxa"/>
            <w:tcBorders>
              <w:top w:val="single" w:sz="2" w:space="0" w:color="000000"/>
              <w:left w:val="single" w:sz="2" w:space="0" w:color="000000"/>
              <w:bottom w:val="single" w:sz="2" w:space="0" w:color="000000"/>
            </w:tcBorders>
            <w:shd w:val="clear" w:color="auto" w:fill="auto"/>
          </w:tcPr>
          <w:p w14:paraId="018D46D2"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lastRenderedPageBreak/>
              <w:t>Schede di rete</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23E2A694"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 xml:space="preserve">2 schede di rete </w:t>
            </w:r>
            <w:proofErr w:type="spellStart"/>
            <w:r w:rsidRPr="001F59CF">
              <w:rPr>
                <w:rFonts w:ascii="Arial" w:eastAsia="MS Mincho" w:hAnsi="Arial" w:cs="Arial"/>
                <w:sz w:val="22"/>
                <w:szCs w:val="22"/>
              </w:rPr>
              <w:t>broadcom</w:t>
            </w:r>
            <w:proofErr w:type="spellEnd"/>
            <w:r w:rsidRPr="001F59CF">
              <w:rPr>
                <w:rFonts w:ascii="Arial" w:eastAsia="MS Mincho" w:hAnsi="Arial" w:cs="Arial"/>
                <w:sz w:val="22"/>
                <w:szCs w:val="22"/>
              </w:rPr>
              <w:t xml:space="preserve"> 57412 dual port 10G con relativi </w:t>
            </w:r>
            <w:proofErr w:type="spellStart"/>
            <w:r w:rsidRPr="001F59CF">
              <w:rPr>
                <w:rFonts w:ascii="Arial" w:eastAsia="MS Mincho" w:hAnsi="Arial" w:cs="Arial"/>
                <w:sz w:val="22"/>
                <w:szCs w:val="22"/>
              </w:rPr>
              <w:t>sfp</w:t>
            </w:r>
            <w:proofErr w:type="spellEnd"/>
            <w:r w:rsidRPr="001F59CF">
              <w:rPr>
                <w:rFonts w:ascii="Arial" w:eastAsia="MS Mincho" w:hAnsi="Arial" w:cs="Arial"/>
                <w:sz w:val="22"/>
                <w:szCs w:val="22"/>
              </w:rPr>
              <w:t>+ + 4 1Gbs rame</w:t>
            </w:r>
          </w:p>
        </w:tc>
      </w:tr>
      <w:tr w:rsidR="00671767" w:rsidRPr="001F59CF" w14:paraId="1F589E18" w14:textId="77777777" w:rsidTr="00233CA8">
        <w:trPr>
          <w:trHeight w:val="391"/>
        </w:trPr>
        <w:tc>
          <w:tcPr>
            <w:tcW w:w="4251" w:type="dxa"/>
            <w:tcBorders>
              <w:top w:val="single" w:sz="2" w:space="0" w:color="000000"/>
              <w:left w:val="single" w:sz="2" w:space="0" w:color="000000"/>
              <w:bottom w:val="single" w:sz="2" w:space="0" w:color="000000"/>
            </w:tcBorders>
            <w:shd w:val="clear" w:color="auto" w:fill="auto"/>
          </w:tcPr>
          <w:p w14:paraId="0489C293"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 xml:space="preserve">Connettività fra le </w:t>
            </w:r>
            <w:proofErr w:type="spellStart"/>
            <w:r w:rsidRPr="001F59CF">
              <w:rPr>
                <w:rFonts w:ascii="Arial" w:eastAsia="MS Mincho" w:hAnsi="Arial" w:cs="Arial"/>
                <w:sz w:val="22"/>
                <w:szCs w:val="22"/>
              </w:rPr>
              <w:t>availability</w:t>
            </w:r>
            <w:proofErr w:type="spellEnd"/>
            <w:r w:rsidRPr="001F59CF">
              <w:rPr>
                <w:rFonts w:ascii="Arial" w:eastAsia="MS Mincho" w:hAnsi="Arial" w:cs="Arial"/>
                <w:sz w:val="22"/>
                <w:szCs w:val="22"/>
              </w:rPr>
              <w:t xml:space="preserve"> zones</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14:paraId="33FA2B37" w14:textId="77777777" w:rsidR="00671767" w:rsidRPr="001F59CF" w:rsidRDefault="00671767" w:rsidP="00233CA8">
            <w:pPr>
              <w:pStyle w:val="Contenutotabella"/>
              <w:rPr>
                <w:rFonts w:ascii="Arial" w:eastAsia="MS Mincho" w:hAnsi="Arial" w:cs="Arial"/>
                <w:sz w:val="22"/>
                <w:szCs w:val="22"/>
              </w:rPr>
            </w:pPr>
            <w:r w:rsidRPr="001F59CF">
              <w:rPr>
                <w:rFonts w:ascii="Arial" w:eastAsia="MS Mincho" w:hAnsi="Arial" w:cs="Arial"/>
                <w:sz w:val="22"/>
                <w:szCs w:val="22"/>
              </w:rPr>
              <w:t xml:space="preserve">2x10 </w:t>
            </w:r>
            <w:proofErr w:type="spellStart"/>
            <w:r w:rsidRPr="001F59CF">
              <w:rPr>
                <w:rFonts w:ascii="Arial" w:eastAsia="MS Mincho" w:hAnsi="Arial" w:cs="Arial"/>
                <w:sz w:val="22"/>
                <w:szCs w:val="22"/>
              </w:rPr>
              <w:t>Gbs</w:t>
            </w:r>
            <w:proofErr w:type="spellEnd"/>
          </w:p>
        </w:tc>
      </w:tr>
    </w:tbl>
    <w:p w14:paraId="25B5D2A4" w14:textId="77777777" w:rsidR="00671767" w:rsidRPr="001F59CF" w:rsidRDefault="00671767" w:rsidP="00671767">
      <w:pPr>
        <w:spacing w:after="120"/>
        <w:jc w:val="both"/>
        <w:rPr>
          <w:rFonts w:ascii="Arial" w:eastAsia="MS Mincho" w:hAnsi="Arial" w:cs="Arial"/>
          <w:color w:val="000000"/>
          <w:sz w:val="22"/>
          <w:szCs w:val="22"/>
          <w:u w:val="single"/>
        </w:rPr>
      </w:pPr>
    </w:p>
    <w:p w14:paraId="4B5EA1D6" w14:textId="77777777" w:rsidR="00671767" w:rsidRPr="001F59CF" w:rsidRDefault="00671767" w:rsidP="001F59CF">
      <w:pPr>
        <w:pStyle w:val="Titolo1"/>
        <w:numPr>
          <w:ilvl w:val="0"/>
          <w:numId w:val="11"/>
        </w:numPr>
      </w:pPr>
      <w:bookmarkStart w:id="2" w:name="_Toc60934110"/>
      <w:bookmarkEnd w:id="2"/>
      <w:r w:rsidRPr="001F59CF">
        <w:t xml:space="preserve">DESCRIZIONE SERVIZI </w:t>
      </w:r>
    </w:p>
    <w:p w14:paraId="08737ACB" w14:textId="77777777" w:rsidR="00671767" w:rsidRPr="001F59CF" w:rsidRDefault="00671767" w:rsidP="00671767">
      <w:pPr>
        <w:pStyle w:val="NormaleWeb"/>
        <w:jc w:val="both"/>
        <w:rPr>
          <w:rFonts w:ascii="Arial" w:eastAsia="MS Mincho" w:hAnsi="Arial" w:cs="Arial"/>
          <w:sz w:val="22"/>
          <w:szCs w:val="22"/>
        </w:rPr>
      </w:pPr>
      <w:bookmarkStart w:id="3" w:name="_Toc482270071"/>
      <w:bookmarkStart w:id="4" w:name="_Toc21931445"/>
      <w:bookmarkStart w:id="5" w:name="_Toc482951418"/>
      <w:bookmarkStart w:id="6" w:name="_Toc482276257"/>
      <w:bookmarkStart w:id="7" w:name="_Toc482280981"/>
      <w:bookmarkStart w:id="8" w:name="_Toc482288924"/>
      <w:bookmarkStart w:id="9" w:name="_Toc482363300"/>
      <w:bookmarkStart w:id="10" w:name="_Toc482280907"/>
      <w:bookmarkStart w:id="11" w:name="_Toc482277699"/>
      <w:bookmarkStart w:id="12" w:name="_Toc482280197"/>
      <w:bookmarkEnd w:id="3"/>
      <w:bookmarkEnd w:id="4"/>
      <w:bookmarkEnd w:id="5"/>
      <w:bookmarkEnd w:id="6"/>
      <w:bookmarkEnd w:id="7"/>
      <w:bookmarkEnd w:id="8"/>
      <w:bookmarkEnd w:id="9"/>
      <w:bookmarkEnd w:id="10"/>
      <w:bookmarkEnd w:id="11"/>
      <w:bookmarkEnd w:id="12"/>
      <w:r w:rsidRPr="001F59CF">
        <w:rPr>
          <w:rFonts w:ascii="Arial" w:eastAsia="MS Mincho" w:hAnsi="Arial" w:cs="Arial"/>
          <w:sz w:val="22"/>
          <w:szCs w:val="22"/>
        </w:rPr>
        <w:t xml:space="preserve">Il Consorzio intende acquisire informazioni e suggerimenti in ordine ai servizi di </w:t>
      </w:r>
      <w:proofErr w:type="spellStart"/>
      <w:r w:rsidRPr="001F59CF">
        <w:rPr>
          <w:rFonts w:ascii="Arial" w:eastAsia="MS Mincho" w:hAnsi="Arial" w:cs="Arial"/>
          <w:sz w:val="22"/>
          <w:szCs w:val="22"/>
        </w:rPr>
        <w:t>subscription</w:t>
      </w:r>
      <w:proofErr w:type="spellEnd"/>
      <w:r w:rsidRPr="001F59CF">
        <w:rPr>
          <w:rFonts w:ascii="Arial" w:eastAsia="MS Mincho" w:hAnsi="Arial" w:cs="Arial"/>
          <w:sz w:val="22"/>
          <w:szCs w:val="22"/>
        </w:rPr>
        <w:t xml:space="preserve"> </w:t>
      </w:r>
      <w:proofErr w:type="spellStart"/>
      <w:r w:rsidRPr="001F59CF">
        <w:rPr>
          <w:rFonts w:ascii="Arial" w:eastAsia="MS Mincho" w:hAnsi="Arial" w:cs="Arial"/>
          <w:sz w:val="22"/>
          <w:szCs w:val="22"/>
        </w:rPr>
        <w:t>Ceph</w:t>
      </w:r>
      <w:proofErr w:type="spellEnd"/>
      <w:r w:rsidRPr="001F59CF">
        <w:rPr>
          <w:rFonts w:ascii="Arial" w:eastAsia="MS Mincho" w:hAnsi="Arial" w:cs="Arial"/>
          <w:sz w:val="22"/>
          <w:szCs w:val="22"/>
        </w:rPr>
        <w:t xml:space="preserve"> di seguito descritti, forniti con le modalità e nel rispetto delle tempistiche indicate:</w:t>
      </w:r>
    </w:p>
    <w:p w14:paraId="49A92E4B" w14:textId="77777777" w:rsidR="00671767" w:rsidRPr="001F59CF" w:rsidRDefault="00671767" w:rsidP="00671767">
      <w:pPr>
        <w:pStyle w:val="NormaleWeb"/>
        <w:numPr>
          <w:ilvl w:val="0"/>
          <w:numId w:val="13"/>
        </w:numPr>
        <w:suppressAutoHyphens/>
        <w:spacing w:before="100" w:beforeAutospacing="0" w:afterAutospacing="0"/>
        <w:jc w:val="both"/>
        <w:rPr>
          <w:rFonts w:ascii="Arial" w:eastAsia="MS Mincho" w:hAnsi="Arial" w:cs="Arial"/>
          <w:sz w:val="22"/>
          <w:szCs w:val="22"/>
        </w:rPr>
      </w:pPr>
      <w:r w:rsidRPr="001F59CF">
        <w:rPr>
          <w:rFonts w:ascii="Arial" w:eastAsia="MS Mincho" w:hAnsi="Arial" w:cs="Arial"/>
          <w:b/>
          <w:bCs/>
          <w:sz w:val="22"/>
          <w:szCs w:val="22"/>
        </w:rPr>
        <w:t xml:space="preserve">FORNITURA MINIMA GARANTITA </w:t>
      </w:r>
      <w:r w:rsidRPr="001F59CF">
        <w:rPr>
          <w:rFonts w:ascii="Arial" w:eastAsia="MS Mincho" w:hAnsi="Arial" w:cs="Arial"/>
          <w:sz w:val="22"/>
          <w:szCs w:val="22"/>
        </w:rPr>
        <w:t>composta dai seguenti servizi:</w:t>
      </w:r>
    </w:p>
    <w:tbl>
      <w:tblPr>
        <w:tblW w:w="86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776"/>
        <w:gridCol w:w="5832"/>
      </w:tblGrid>
      <w:tr w:rsidR="00671767" w:rsidRPr="001F59CF" w14:paraId="2A327413" w14:textId="77777777" w:rsidTr="001F59CF">
        <w:trPr>
          <w:trHeight w:val="462"/>
        </w:trPr>
        <w:tc>
          <w:tcPr>
            <w:tcW w:w="2776" w:type="dxa"/>
            <w:tcBorders>
              <w:top w:val="single" w:sz="4" w:space="0" w:color="00000A"/>
              <w:left w:val="single" w:sz="4" w:space="0" w:color="00000A"/>
              <w:bottom w:val="single" w:sz="4" w:space="0" w:color="00000A"/>
              <w:right w:val="single" w:sz="4" w:space="0" w:color="00000A"/>
            </w:tcBorders>
            <w:shd w:val="clear" w:color="auto" w:fill="auto"/>
          </w:tcPr>
          <w:p w14:paraId="156D1203"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SUBSCRIPTION CEPH</w:t>
            </w:r>
          </w:p>
        </w:tc>
        <w:tc>
          <w:tcPr>
            <w:tcW w:w="5832" w:type="dxa"/>
            <w:tcBorders>
              <w:top w:val="single" w:sz="4" w:space="0" w:color="00000A"/>
              <w:left w:val="single" w:sz="4" w:space="0" w:color="00000A"/>
              <w:bottom w:val="single" w:sz="4" w:space="0" w:color="00000A"/>
              <w:right w:val="single" w:sz="4" w:space="0" w:color="00000A"/>
            </w:tcBorders>
            <w:shd w:val="clear" w:color="auto" w:fill="auto"/>
          </w:tcPr>
          <w:p w14:paraId="1458B55D" w14:textId="77777777" w:rsidR="00671767" w:rsidRPr="001F59CF" w:rsidRDefault="00671767" w:rsidP="00233CA8">
            <w:pPr>
              <w:spacing w:after="120"/>
              <w:jc w:val="both"/>
              <w:rPr>
                <w:rFonts w:ascii="Arial" w:hAnsi="Arial" w:cs="Arial"/>
                <w:sz w:val="22"/>
                <w:szCs w:val="22"/>
              </w:rPr>
            </w:pPr>
            <w:r w:rsidRPr="001F59CF">
              <w:rPr>
                <w:rFonts w:ascii="Arial" w:hAnsi="Arial" w:cs="Arial"/>
                <w:sz w:val="22"/>
                <w:szCs w:val="22"/>
              </w:rPr>
              <w:t xml:space="preserve">Subscription per il supporto di 2 cluster </w:t>
            </w:r>
            <w:proofErr w:type="spellStart"/>
            <w:r w:rsidRPr="001F59CF">
              <w:rPr>
                <w:rFonts w:ascii="Arial" w:hAnsi="Arial" w:cs="Arial"/>
                <w:sz w:val="22"/>
                <w:szCs w:val="22"/>
              </w:rPr>
              <w:t>Ceph</w:t>
            </w:r>
            <w:proofErr w:type="spellEnd"/>
            <w:r w:rsidRPr="001F59CF">
              <w:rPr>
                <w:rFonts w:ascii="Arial" w:hAnsi="Arial" w:cs="Arial"/>
                <w:sz w:val="22"/>
                <w:szCs w:val="22"/>
              </w:rPr>
              <w:t xml:space="preserve"> per un totale di 19 nodi e 380 </w:t>
            </w:r>
            <w:proofErr w:type="spellStart"/>
            <w:r w:rsidRPr="001F59CF">
              <w:rPr>
                <w:rFonts w:ascii="Arial" w:hAnsi="Arial" w:cs="Arial"/>
                <w:sz w:val="22"/>
                <w:szCs w:val="22"/>
              </w:rPr>
              <w:t>osd</w:t>
            </w:r>
            <w:proofErr w:type="spellEnd"/>
            <w:r w:rsidRPr="001F59CF">
              <w:rPr>
                <w:rFonts w:ascii="Arial" w:hAnsi="Arial" w:cs="Arial"/>
                <w:sz w:val="22"/>
                <w:szCs w:val="22"/>
              </w:rPr>
              <w:t>: 1 cluster da 12 nodi e 1 cluster da 7</w:t>
            </w:r>
          </w:p>
        </w:tc>
      </w:tr>
      <w:tr w:rsidR="00671767" w:rsidRPr="001F59CF" w14:paraId="069CA3B2" w14:textId="77777777" w:rsidTr="001F59CF">
        <w:trPr>
          <w:trHeight w:val="462"/>
        </w:trPr>
        <w:tc>
          <w:tcPr>
            <w:tcW w:w="2776" w:type="dxa"/>
            <w:tcBorders>
              <w:top w:val="single" w:sz="4" w:space="0" w:color="00000A"/>
              <w:left w:val="single" w:sz="4" w:space="0" w:color="00000A"/>
              <w:bottom w:val="single" w:sz="4" w:space="0" w:color="00000A"/>
              <w:right w:val="single" w:sz="4" w:space="0" w:color="00000A"/>
            </w:tcBorders>
            <w:shd w:val="clear" w:color="auto" w:fill="auto"/>
          </w:tcPr>
          <w:p w14:paraId="6C9BB4B9"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INSTALLAZIONE E CONFIGURAZIONE</w:t>
            </w:r>
          </w:p>
        </w:tc>
        <w:tc>
          <w:tcPr>
            <w:tcW w:w="5832" w:type="dxa"/>
            <w:tcBorders>
              <w:top w:val="single" w:sz="4" w:space="0" w:color="00000A"/>
              <w:left w:val="single" w:sz="4" w:space="0" w:color="00000A"/>
              <w:bottom w:val="single" w:sz="4" w:space="0" w:color="00000A"/>
              <w:right w:val="single" w:sz="4" w:space="0" w:color="00000A"/>
            </w:tcBorders>
            <w:shd w:val="clear" w:color="auto" w:fill="auto"/>
          </w:tcPr>
          <w:p w14:paraId="2C710369" w14:textId="77777777" w:rsidR="00671767" w:rsidRPr="001F59CF" w:rsidRDefault="00671767" w:rsidP="00233CA8">
            <w:pPr>
              <w:spacing w:after="120"/>
              <w:jc w:val="both"/>
              <w:rPr>
                <w:rFonts w:ascii="Arial" w:hAnsi="Arial" w:cs="Arial"/>
                <w:sz w:val="22"/>
                <w:szCs w:val="22"/>
              </w:rPr>
            </w:pPr>
            <w:r w:rsidRPr="001F59CF">
              <w:rPr>
                <w:rFonts w:ascii="Arial" w:eastAsia="MS Mincho" w:hAnsi="Arial" w:cs="Arial"/>
                <w:color w:val="000000" w:themeColor="text1"/>
                <w:sz w:val="22"/>
                <w:szCs w:val="22"/>
              </w:rPr>
              <w:t xml:space="preserve">Installazione e configurazione di due cluster in replica (come specificato all’art. 5 Requisiti minimi). </w:t>
            </w:r>
          </w:p>
        </w:tc>
      </w:tr>
      <w:tr w:rsidR="00671767" w:rsidRPr="001F59CF" w14:paraId="291EA361" w14:textId="77777777" w:rsidTr="001F59CF">
        <w:trPr>
          <w:trHeight w:val="717"/>
        </w:trPr>
        <w:tc>
          <w:tcPr>
            <w:tcW w:w="2776" w:type="dxa"/>
            <w:tcBorders>
              <w:top w:val="single" w:sz="4" w:space="0" w:color="00000A"/>
              <w:left w:val="single" w:sz="4" w:space="0" w:color="00000A"/>
              <w:bottom w:val="single" w:sz="4" w:space="0" w:color="00000A"/>
              <w:right w:val="single" w:sz="4" w:space="0" w:color="00000A"/>
            </w:tcBorders>
            <w:shd w:val="clear" w:color="auto" w:fill="auto"/>
          </w:tcPr>
          <w:p w14:paraId="4240A141"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SERVIZI PROFESSIONALI DI SUPPORTO SPECIALISTICO</w:t>
            </w:r>
          </w:p>
        </w:tc>
        <w:tc>
          <w:tcPr>
            <w:tcW w:w="5832" w:type="dxa"/>
            <w:tcBorders>
              <w:top w:val="single" w:sz="4" w:space="0" w:color="00000A"/>
              <w:left w:val="single" w:sz="4" w:space="0" w:color="00000A"/>
              <w:bottom w:val="single" w:sz="4" w:space="0" w:color="00000A"/>
              <w:right w:val="single" w:sz="4" w:space="0" w:color="00000A"/>
            </w:tcBorders>
            <w:shd w:val="clear" w:color="auto" w:fill="auto"/>
          </w:tcPr>
          <w:p w14:paraId="4477204B" w14:textId="77777777" w:rsidR="00671767" w:rsidRPr="001F59CF" w:rsidRDefault="00671767" w:rsidP="00233CA8">
            <w:pPr>
              <w:spacing w:after="120"/>
              <w:jc w:val="both"/>
              <w:rPr>
                <w:rFonts w:ascii="Arial" w:hAnsi="Arial" w:cs="Arial"/>
                <w:sz w:val="22"/>
                <w:szCs w:val="22"/>
              </w:rPr>
            </w:pPr>
            <w:r w:rsidRPr="001F59CF">
              <w:rPr>
                <w:rFonts w:ascii="Arial" w:eastAsia="MS Mincho" w:hAnsi="Arial" w:cs="Arial"/>
                <w:sz w:val="22"/>
                <w:szCs w:val="22"/>
              </w:rPr>
              <w:t xml:space="preserve">10 gg di supporto specialistico fruibili durante la durata del contratto come indicato nel capitolo 3.3  </w:t>
            </w:r>
          </w:p>
        </w:tc>
      </w:tr>
      <w:tr w:rsidR="00671767" w:rsidRPr="001F59CF" w14:paraId="2E8B99B4" w14:textId="77777777" w:rsidTr="001F59CF">
        <w:trPr>
          <w:trHeight w:val="717"/>
        </w:trPr>
        <w:tc>
          <w:tcPr>
            <w:tcW w:w="2776" w:type="dxa"/>
            <w:tcBorders>
              <w:top w:val="single" w:sz="4" w:space="0" w:color="00000A"/>
              <w:left w:val="single" w:sz="4" w:space="0" w:color="00000A"/>
              <w:bottom w:val="single" w:sz="4" w:space="0" w:color="00000A"/>
              <w:right w:val="single" w:sz="4" w:space="0" w:color="00000A"/>
            </w:tcBorders>
            <w:shd w:val="clear" w:color="auto" w:fill="auto"/>
          </w:tcPr>
          <w:p w14:paraId="176E9AAE"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FORMAZIONE</w:t>
            </w:r>
          </w:p>
        </w:tc>
        <w:tc>
          <w:tcPr>
            <w:tcW w:w="5832" w:type="dxa"/>
            <w:tcBorders>
              <w:top w:val="single" w:sz="4" w:space="0" w:color="00000A"/>
              <w:left w:val="single" w:sz="4" w:space="0" w:color="00000A"/>
              <w:bottom w:val="single" w:sz="4" w:space="0" w:color="00000A"/>
              <w:right w:val="single" w:sz="4" w:space="0" w:color="00000A"/>
            </w:tcBorders>
            <w:shd w:val="clear" w:color="auto" w:fill="auto"/>
          </w:tcPr>
          <w:p w14:paraId="0930C1E8" w14:textId="77777777" w:rsidR="00671767" w:rsidRPr="001F59CF" w:rsidRDefault="00671767" w:rsidP="00233CA8">
            <w:pPr>
              <w:spacing w:after="120"/>
              <w:jc w:val="both"/>
              <w:rPr>
                <w:rFonts w:ascii="Arial" w:hAnsi="Arial" w:cs="Arial"/>
                <w:sz w:val="22"/>
                <w:szCs w:val="22"/>
              </w:rPr>
            </w:pPr>
            <w:r w:rsidRPr="001F59CF">
              <w:rPr>
                <w:rFonts w:ascii="Arial" w:hAnsi="Arial" w:cs="Arial"/>
                <w:sz w:val="22"/>
                <w:szCs w:val="22"/>
              </w:rPr>
              <w:t>La formazione iniziale relativa alla soluzione fornita (strumenti specifici utilizzati dal fornitore) come indicato nel capitolo 3.4 dovrà prevedere un corso di 5 giornate.</w:t>
            </w:r>
          </w:p>
        </w:tc>
      </w:tr>
    </w:tbl>
    <w:p w14:paraId="2324DFFB" w14:textId="77777777" w:rsidR="00671767" w:rsidRPr="001F59CF" w:rsidRDefault="00671767" w:rsidP="00671767">
      <w:pPr>
        <w:pStyle w:val="NormaleWeb"/>
        <w:numPr>
          <w:ilvl w:val="0"/>
          <w:numId w:val="13"/>
        </w:numPr>
        <w:suppressAutoHyphens/>
        <w:spacing w:before="100" w:beforeAutospacing="0" w:afterAutospacing="0"/>
        <w:jc w:val="both"/>
        <w:rPr>
          <w:rFonts w:ascii="Arial" w:eastAsia="MS Mincho" w:hAnsi="Arial" w:cs="Arial"/>
          <w:b/>
          <w:bCs/>
          <w:sz w:val="22"/>
          <w:szCs w:val="22"/>
        </w:rPr>
      </w:pPr>
      <w:r w:rsidRPr="001F59CF">
        <w:rPr>
          <w:rFonts w:ascii="Arial" w:eastAsia="MS Mincho" w:hAnsi="Arial" w:cs="Arial"/>
          <w:b/>
          <w:bCs/>
          <w:sz w:val="22"/>
          <w:szCs w:val="22"/>
        </w:rPr>
        <w:t xml:space="preserve">FORNITURA DI SUBSCRIPTION CEPH AGGIUNTIVE </w:t>
      </w:r>
    </w:p>
    <w:p w14:paraId="27DA5570" w14:textId="6497A0F8" w:rsidR="00671767" w:rsidRPr="001F59CF" w:rsidRDefault="00671767" w:rsidP="001F59CF">
      <w:pPr>
        <w:pStyle w:val="NormaleWeb"/>
        <w:ind w:left="720"/>
        <w:jc w:val="both"/>
        <w:rPr>
          <w:rFonts w:ascii="Arial" w:hAnsi="Arial" w:cs="Arial"/>
          <w:sz w:val="22"/>
          <w:szCs w:val="22"/>
        </w:rPr>
      </w:pPr>
      <w:r w:rsidRPr="001F59CF">
        <w:rPr>
          <w:rFonts w:ascii="Arial" w:eastAsia="MS Mincho" w:hAnsi="Arial" w:cs="Arial"/>
          <w:sz w:val="22"/>
          <w:szCs w:val="22"/>
        </w:rPr>
        <w:t xml:space="preserve">Per tutto il periodo di vigenza contrattuale l’aggiudicatario si obbliga a fornire, in una o più tranche, e </w:t>
      </w:r>
      <w:r w:rsidRPr="001F59CF">
        <w:rPr>
          <w:rFonts w:ascii="Arial" w:hAnsi="Arial" w:cs="Arial"/>
          <w:sz w:val="22"/>
          <w:szCs w:val="22"/>
          <w:lang w:eastAsia="x-none"/>
        </w:rPr>
        <w:t xml:space="preserve">solo nel caso in cui il CSI-Piemonte li richieda, </w:t>
      </w:r>
      <w:r w:rsidRPr="001F59CF">
        <w:rPr>
          <w:rFonts w:ascii="Arial" w:eastAsia="MS Mincho" w:hAnsi="Arial" w:cs="Arial"/>
          <w:sz w:val="22"/>
          <w:szCs w:val="22"/>
        </w:rPr>
        <w:t xml:space="preserve">i servizi </w:t>
      </w:r>
      <w:r w:rsidRPr="001F59CF">
        <w:rPr>
          <w:rFonts w:ascii="Arial" w:eastAsia="MS Mincho" w:hAnsi="Arial" w:cs="Arial"/>
          <w:b/>
          <w:bCs/>
          <w:sz w:val="22"/>
          <w:szCs w:val="22"/>
        </w:rPr>
        <w:t xml:space="preserve">di </w:t>
      </w:r>
      <w:proofErr w:type="spellStart"/>
      <w:r w:rsidRPr="001F59CF">
        <w:rPr>
          <w:rFonts w:ascii="Arial" w:hAnsi="Arial" w:cs="Arial"/>
          <w:b/>
          <w:sz w:val="22"/>
          <w:szCs w:val="22"/>
        </w:rPr>
        <w:t>subscription</w:t>
      </w:r>
      <w:proofErr w:type="spellEnd"/>
      <w:r w:rsidRPr="001F59CF">
        <w:rPr>
          <w:rFonts w:ascii="Arial" w:hAnsi="Arial" w:cs="Arial"/>
          <w:b/>
          <w:sz w:val="22"/>
          <w:szCs w:val="22"/>
        </w:rPr>
        <w:t xml:space="preserve"> </w:t>
      </w:r>
      <w:proofErr w:type="spellStart"/>
      <w:r w:rsidRPr="001F59CF">
        <w:rPr>
          <w:rFonts w:ascii="Arial" w:hAnsi="Arial" w:cs="Arial"/>
          <w:b/>
          <w:sz w:val="22"/>
          <w:szCs w:val="22"/>
        </w:rPr>
        <w:t>Ceph</w:t>
      </w:r>
      <w:proofErr w:type="spellEnd"/>
      <w:r w:rsidRPr="001F59CF">
        <w:rPr>
          <w:rFonts w:ascii="Arial" w:hAnsi="Arial" w:cs="Arial"/>
          <w:b/>
          <w:sz w:val="22"/>
          <w:szCs w:val="22"/>
        </w:rPr>
        <w:t xml:space="preserve">, </w:t>
      </w:r>
      <w:r w:rsidRPr="001F59CF">
        <w:rPr>
          <w:rFonts w:ascii="Arial" w:eastAsia="MS Mincho" w:hAnsi="Arial" w:cs="Arial"/>
          <w:sz w:val="22"/>
          <w:szCs w:val="22"/>
        </w:rPr>
        <w:t xml:space="preserve">al </w:t>
      </w:r>
      <w:r w:rsidRPr="001F59CF">
        <w:rPr>
          <w:rFonts w:ascii="Arial" w:eastAsia="MS Mincho" w:hAnsi="Arial" w:cs="Arial"/>
          <w:b/>
          <w:sz w:val="22"/>
          <w:szCs w:val="22"/>
        </w:rPr>
        <w:t>prezzo del nodo</w:t>
      </w:r>
      <w:r w:rsidRPr="001F59CF">
        <w:rPr>
          <w:rFonts w:ascii="Arial" w:eastAsia="MS Mincho" w:hAnsi="Arial" w:cs="Arial"/>
          <w:sz w:val="22"/>
          <w:szCs w:val="22"/>
        </w:rPr>
        <w:t xml:space="preserve"> dedotto in offerta e</w:t>
      </w:r>
      <w:r w:rsidRPr="001F59CF">
        <w:rPr>
          <w:rFonts w:ascii="Arial" w:hAnsi="Arial" w:cs="Arial"/>
          <w:sz w:val="22"/>
          <w:szCs w:val="22"/>
        </w:rPr>
        <w:t xml:space="preserve"> </w:t>
      </w:r>
      <w:r w:rsidRPr="001F59CF">
        <w:rPr>
          <w:rFonts w:ascii="Arial" w:eastAsia="MS Mincho" w:hAnsi="Arial" w:cs="Arial"/>
          <w:sz w:val="22"/>
          <w:szCs w:val="22"/>
        </w:rPr>
        <w:t>nel limite dell’importo massimo di spesa indicato dal Consorzio.</w:t>
      </w:r>
    </w:p>
    <w:p w14:paraId="7E0C646E" w14:textId="77777777" w:rsidR="00671767" w:rsidRPr="001F59CF" w:rsidRDefault="00671767" w:rsidP="001F59CF">
      <w:pPr>
        <w:pStyle w:val="Titolo1"/>
        <w:numPr>
          <w:ilvl w:val="0"/>
          <w:numId w:val="11"/>
        </w:numPr>
      </w:pPr>
      <w:bookmarkStart w:id="13" w:name="_Toc60934111"/>
      <w:bookmarkStart w:id="14" w:name="_Toc85699035"/>
      <w:bookmarkEnd w:id="13"/>
      <w:r w:rsidRPr="001F59CF">
        <w:t>COMPONENTI DELLA FORNITURA</w:t>
      </w:r>
      <w:bookmarkEnd w:id="14"/>
    </w:p>
    <w:p w14:paraId="3C75B963" w14:textId="77777777" w:rsidR="00671767" w:rsidRPr="001F59CF" w:rsidRDefault="00671767" w:rsidP="00671767">
      <w:pPr>
        <w:rPr>
          <w:rFonts w:ascii="Arial" w:hAnsi="Arial" w:cs="Arial"/>
          <w:sz w:val="22"/>
          <w:szCs w:val="22"/>
        </w:rPr>
      </w:pPr>
    </w:p>
    <w:p w14:paraId="0B55D453" w14:textId="77777777" w:rsidR="00671767" w:rsidRPr="001F59CF" w:rsidRDefault="00671767" w:rsidP="00671767">
      <w:pPr>
        <w:pStyle w:val="Titolo2"/>
        <w:tabs>
          <w:tab w:val="left" w:pos="804"/>
        </w:tabs>
        <w:spacing w:after="120"/>
        <w:ind w:left="576" w:hanging="236"/>
        <w:jc w:val="both"/>
        <w:rPr>
          <w:rFonts w:ascii="Arial" w:hAnsi="Arial" w:cs="Arial"/>
          <w:sz w:val="22"/>
          <w:szCs w:val="22"/>
        </w:rPr>
      </w:pPr>
      <w:bookmarkStart w:id="15" w:name="_Toc60934113"/>
      <w:bookmarkStart w:id="16" w:name="_Toc85699036"/>
      <w:r w:rsidRPr="001F59CF">
        <w:rPr>
          <w:rFonts w:ascii="Arial" w:hAnsi="Arial" w:cs="Arial"/>
          <w:sz w:val="22"/>
          <w:szCs w:val="22"/>
        </w:rPr>
        <w:t>2.1. SERVIZIO DI S</w:t>
      </w:r>
      <w:bookmarkEnd w:id="15"/>
      <w:r w:rsidRPr="001F59CF">
        <w:rPr>
          <w:rFonts w:ascii="Arial" w:hAnsi="Arial" w:cs="Arial"/>
          <w:sz w:val="22"/>
          <w:szCs w:val="22"/>
        </w:rPr>
        <w:t>UBSCRIPTION</w:t>
      </w:r>
      <w:bookmarkEnd w:id="16"/>
    </w:p>
    <w:p w14:paraId="76BF20F5" w14:textId="77777777" w:rsidR="00671767" w:rsidRPr="001F59CF" w:rsidRDefault="00671767" w:rsidP="00671767">
      <w:pPr>
        <w:spacing w:after="120"/>
        <w:ind w:left="568"/>
        <w:jc w:val="both"/>
        <w:rPr>
          <w:rFonts w:ascii="Arial" w:hAnsi="Arial" w:cs="Arial"/>
          <w:sz w:val="22"/>
          <w:szCs w:val="22"/>
        </w:rPr>
      </w:pPr>
      <w:r w:rsidRPr="001F59CF">
        <w:rPr>
          <w:rFonts w:ascii="Arial" w:hAnsi="Arial" w:cs="Arial"/>
          <w:sz w:val="22"/>
          <w:szCs w:val="22"/>
        </w:rPr>
        <w:t xml:space="preserve">Il servizio di </w:t>
      </w:r>
      <w:proofErr w:type="spellStart"/>
      <w:r w:rsidRPr="001F59CF">
        <w:rPr>
          <w:rFonts w:ascii="Arial" w:hAnsi="Arial" w:cs="Arial"/>
          <w:sz w:val="22"/>
          <w:szCs w:val="22"/>
        </w:rPr>
        <w:t>subscription</w:t>
      </w:r>
      <w:proofErr w:type="spellEnd"/>
      <w:r w:rsidRPr="001F59CF">
        <w:rPr>
          <w:rFonts w:ascii="Arial" w:hAnsi="Arial" w:cs="Arial"/>
          <w:sz w:val="22"/>
          <w:szCs w:val="22"/>
          <w:u w:val="single"/>
        </w:rPr>
        <w:t xml:space="preserve"> </w:t>
      </w:r>
      <w:r w:rsidRPr="001F59CF">
        <w:rPr>
          <w:rFonts w:ascii="Arial" w:hAnsi="Arial" w:cs="Arial"/>
          <w:sz w:val="22"/>
          <w:szCs w:val="22"/>
        </w:rPr>
        <w:t xml:space="preserve">CEPH di cui alla prima fornitura </w:t>
      </w:r>
      <w:r w:rsidRPr="001F59CF">
        <w:rPr>
          <w:rFonts w:ascii="Arial" w:hAnsi="Arial" w:cs="Arial"/>
          <w:sz w:val="22"/>
          <w:szCs w:val="22"/>
          <w:lang w:eastAsia="en-US"/>
        </w:rPr>
        <w:t xml:space="preserve">avrà una </w:t>
      </w:r>
      <w:r w:rsidRPr="001F59CF">
        <w:rPr>
          <w:rFonts w:ascii="Arial" w:hAnsi="Arial" w:cs="Arial"/>
          <w:b/>
          <w:sz w:val="22"/>
          <w:szCs w:val="22"/>
          <w:lang w:eastAsia="en-US"/>
        </w:rPr>
        <w:t>durata di 36 mesi</w:t>
      </w:r>
      <w:r w:rsidRPr="001F59CF">
        <w:rPr>
          <w:rFonts w:ascii="Arial" w:hAnsi="Arial" w:cs="Arial"/>
          <w:sz w:val="22"/>
          <w:szCs w:val="22"/>
          <w:lang w:eastAsia="en-US"/>
        </w:rPr>
        <w:t xml:space="preserve"> a decorrere dal rilascio, con esito positivo, </w:t>
      </w:r>
      <w:r w:rsidRPr="001F59CF">
        <w:rPr>
          <w:rFonts w:ascii="Arial" w:hAnsi="Arial" w:cs="Arial"/>
          <w:b/>
          <w:sz w:val="22"/>
          <w:szCs w:val="22"/>
          <w:lang w:eastAsia="en-US"/>
        </w:rPr>
        <w:t>del verbale di CONFORMITA’</w:t>
      </w:r>
      <w:r w:rsidRPr="001F59CF">
        <w:rPr>
          <w:rFonts w:ascii="Arial" w:hAnsi="Arial" w:cs="Arial"/>
          <w:sz w:val="22"/>
          <w:szCs w:val="22"/>
          <w:lang w:eastAsia="en-US"/>
        </w:rPr>
        <w:t xml:space="preserve"> attestante la conformità del funzionamento dei due cluster replicati.</w:t>
      </w:r>
    </w:p>
    <w:p w14:paraId="1D6048AC" w14:textId="77777777" w:rsidR="00671767" w:rsidRPr="001F59CF" w:rsidRDefault="00671767" w:rsidP="00671767">
      <w:pPr>
        <w:spacing w:after="120"/>
        <w:ind w:left="568"/>
        <w:jc w:val="both"/>
        <w:rPr>
          <w:rFonts w:ascii="Arial" w:hAnsi="Arial" w:cs="Arial"/>
          <w:sz w:val="22"/>
          <w:szCs w:val="22"/>
        </w:rPr>
      </w:pPr>
      <w:r w:rsidRPr="001F59CF">
        <w:rPr>
          <w:rFonts w:ascii="Arial" w:hAnsi="Arial" w:cs="Arial"/>
          <w:sz w:val="22"/>
          <w:szCs w:val="22"/>
        </w:rPr>
        <w:t xml:space="preserve">Il servizio di </w:t>
      </w:r>
      <w:proofErr w:type="spellStart"/>
      <w:r w:rsidRPr="001F59CF">
        <w:rPr>
          <w:rFonts w:ascii="Arial" w:hAnsi="Arial" w:cs="Arial"/>
          <w:sz w:val="22"/>
          <w:szCs w:val="22"/>
        </w:rPr>
        <w:t>subscription</w:t>
      </w:r>
      <w:proofErr w:type="spellEnd"/>
      <w:r w:rsidRPr="001F59CF">
        <w:rPr>
          <w:rFonts w:ascii="Arial" w:hAnsi="Arial" w:cs="Arial"/>
          <w:sz w:val="22"/>
          <w:szCs w:val="22"/>
        </w:rPr>
        <w:t xml:space="preserve"> sarà</w:t>
      </w:r>
      <w:r w:rsidRPr="001F59CF">
        <w:rPr>
          <w:rFonts w:ascii="Arial" w:hAnsi="Arial" w:cs="Arial"/>
          <w:sz w:val="22"/>
          <w:szCs w:val="22"/>
          <w:lang w:eastAsia="en-US"/>
        </w:rPr>
        <w:t xml:space="preserve"> composto dalle seguenti voci:</w:t>
      </w:r>
    </w:p>
    <w:p w14:paraId="11D0B718" w14:textId="77777777" w:rsidR="00671767" w:rsidRPr="001F59CF" w:rsidRDefault="00671767" w:rsidP="00671767">
      <w:pPr>
        <w:pStyle w:val="Paragrafoelenco"/>
        <w:numPr>
          <w:ilvl w:val="0"/>
          <w:numId w:val="12"/>
        </w:numPr>
        <w:suppressAutoHyphens/>
        <w:spacing w:after="120"/>
        <w:ind w:left="994" w:hanging="426"/>
        <w:jc w:val="both"/>
        <w:rPr>
          <w:rFonts w:ascii="Arial" w:eastAsia="Arial" w:hAnsi="Arial" w:cs="Arial"/>
          <w:sz w:val="22"/>
          <w:szCs w:val="22"/>
        </w:rPr>
      </w:pPr>
      <w:r w:rsidRPr="001F59CF">
        <w:rPr>
          <w:rFonts w:ascii="Arial" w:hAnsi="Arial" w:cs="Arial"/>
          <w:b/>
          <w:sz w:val="22"/>
          <w:szCs w:val="22"/>
        </w:rPr>
        <w:t>manutenzione evolutiva</w:t>
      </w:r>
      <w:r w:rsidRPr="001F59CF">
        <w:rPr>
          <w:rFonts w:ascii="Arial" w:hAnsi="Arial" w:cs="Arial"/>
          <w:sz w:val="22"/>
          <w:szCs w:val="22"/>
        </w:rPr>
        <w:t xml:space="preserve">: l’Appaltatore deve mettere a disposizione le major release di </w:t>
      </w:r>
      <w:proofErr w:type="spellStart"/>
      <w:r w:rsidRPr="001F59CF">
        <w:rPr>
          <w:rFonts w:ascii="Arial" w:hAnsi="Arial" w:cs="Arial"/>
          <w:sz w:val="22"/>
          <w:szCs w:val="22"/>
        </w:rPr>
        <w:t>ceph</w:t>
      </w:r>
      <w:proofErr w:type="spellEnd"/>
      <w:r w:rsidRPr="001F59CF">
        <w:rPr>
          <w:rFonts w:ascii="Arial" w:hAnsi="Arial" w:cs="Arial"/>
          <w:sz w:val="22"/>
          <w:szCs w:val="22"/>
        </w:rPr>
        <w:t xml:space="preserve"> che consentano al CSI Piemonte di far evolvere la piattaforma alle versioni upstream come indicato nelle specifiche del ciclo di vita delle versioni </w:t>
      </w:r>
      <w:proofErr w:type="spellStart"/>
      <w:r w:rsidRPr="001F59CF">
        <w:rPr>
          <w:rFonts w:ascii="Arial" w:hAnsi="Arial" w:cs="Arial"/>
          <w:sz w:val="22"/>
          <w:szCs w:val="22"/>
        </w:rPr>
        <w:t>Openstack</w:t>
      </w:r>
      <w:proofErr w:type="spellEnd"/>
      <w:r w:rsidRPr="001F59CF">
        <w:rPr>
          <w:rFonts w:ascii="Arial" w:hAnsi="Arial" w:cs="Arial"/>
          <w:sz w:val="22"/>
          <w:szCs w:val="22"/>
        </w:rPr>
        <w:t xml:space="preserve"> (https://releases.openstack.org/);</w:t>
      </w:r>
    </w:p>
    <w:p w14:paraId="0F0CC793" w14:textId="77777777" w:rsidR="00671767" w:rsidRPr="001F59CF" w:rsidRDefault="00671767" w:rsidP="00671767">
      <w:pPr>
        <w:pStyle w:val="Paragrafoelenco"/>
        <w:numPr>
          <w:ilvl w:val="0"/>
          <w:numId w:val="12"/>
        </w:numPr>
        <w:suppressAutoHyphens/>
        <w:spacing w:after="120"/>
        <w:ind w:left="994" w:hanging="426"/>
        <w:jc w:val="both"/>
        <w:rPr>
          <w:rFonts w:ascii="Arial" w:hAnsi="Arial" w:cs="Arial"/>
          <w:sz w:val="22"/>
          <w:szCs w:val="22"/>
        </w:rPr>
      </w:pPr>
      <w:r w:rsidRPr="001F59CF">
        <w:rPr>
          <w:rFonts w:ascii="Arial" w:hAnsi="Arial" w:cs="Arial"/>
          <w:b/>
          <w:sz w:val="22"/>
          <w:szCs w:val="22"/>
        </w:rPr>
        <w:t>manutenzione correttiva</w:t>
      </w:r>
      <w:r w:rsidRPr="001F59CF">
        <w:rPr>
          <w:rFonts w:ascii="Arial" w:hAnsi="Arial" w:cs="Arial"/>
          <w:sz w:val="22"/>
          <w:szCs w:val="22"/>
        </w:rPr>
        <w:t>: l’Appaltatore deve mettere a disposizione le minor release che consentano sia la risoluzione dei bug, sia altro inconveniente che dovesse verificarsi;</w:t>
      </w:r>
    </w:p>
    <w:p w14:paraId="7850FA30" w14:textId="77777777" w:rsidR="00671767" w:rsidRPr="001F59CF" w:rsidRDefault="00671767" w:rsidP="00671767">
      <w:pPr>
        <w:spacing w:after="120"/>
        <w:ind w:left="568"/>
        <w:jc w:val="both"/>
        <w:rPr>
          <w:rFonts w:ascii="Arial" w:hAnsi="Arial" w:cs="Arial"/>
          <w:sz w:val="22"/>
          <w:szCs w:val="22"/>
          <w:lang w:eastAsia="en-US"/>
        </w:rPr>
      </w:pPr>
      <w:r w:rsidRPr="001F59CF">
        <w:rPr>
          <w:rFonts w:ascii="Arial" w:hAnsi="Arial" w:cs="Arial"/>
          <w:sz w:val="22"/>
          <w:szCs w:val="22"/>
          <w:lang w:eastAsia="en-US"/>
        </w:rPr>
        <w:t xml:space="preserve">Il servizio deve comprendere la fornitura e la manutenzione di tutto il software a corredo, compresi i driver per i moduli di </w:t>
      </w:r>
      <w:proofErr w:type="spellStart"/>
      <w:r w:rsidRPr="001F59CF">
        <w:rPr>
          <w:rFonts w:ascii="Arial" w:hAnsi="Arial" w:cs="Arial"/>
          <w:sz w:val="22"/>
          <w:szCs w:val="22"/>
          <w:lang w:eastAsia="en-US"/>
        </w:rPr>
        <w:t>Openstack</w:t>
      </w:r>
      <w:proofErr w:type="spellEnd"/>
      <w:r w:rsidRPr="001F59CF">
        <w:rPr>
          <w:rFonts w:ascii="Arial" w:hAnsi="Arial" w:cs="Arial"/>
          <w:sz w:val="22"/>
          <w:szCs w:val="22"/>
          <w:lang w:eastAsia="en-US"/>
        </w:rPr>
        <w:t xml:space="preserve"> </w:t>
      </w:r>
      <w:proofErr w:type="spellStart"/>
      <w:r w:rsidRPr="001F59CF">
        <w:rPr>
          <w:rFonts w:ascii="Arial" w:hAnsi="Arial" w:cs="Arial"/>
          <w:sz w:val="22"/>
          <w:szCs w:val="22"/>
          <w:lang w:eastAsia="en-US"/>
        </w:rPr>
        <w:t>Cinder</w:t>
      </w:r>
      <w:proofErr w:type="spellEnd"/>
      <w:r w:rsidRPr="001F59CF">
        <w:rPr>
          <w:rFonts w:ascii="Arial" w:hAnsi="Arial" w:cs="Arial"/>
          <w:sz w:val="22"/>
          <w:szCs w:val="22"/>
          <w:lang w:eastAsia="en-US"/>
        </w:rPr>
        <w:t xml:space="preserve"> dalle versioni indicate e successive.</w:t>
      </w:r>
    </w:p>
    <w:p w14:paraId="559AEE95" w14:textId="77777777" w:rsidR="00671767" w:rsidRPr="001F59CF" w:rsidRDefault="00671767" w:rsidP="00671767">
      <w:pPr>
        <w:spacing w:after="120"/>
        <w:ind w:left="568"/>
        <w:jc w:val="both"/>
        <w:rPr>
          <w:rFonts w:ascii="Arial" w:hAnsi="Arial" w:cs="Arial"/>
          <w:sz w:val="22"/>
          <w:szCs w:val="22"/>
          <w:lang w:eastAsia="en-US"/>
        </w:rPr>
      </w:pPr>
      <w:r w:rsidRPr="001F59CF">
        <w:rPr>
          <w:rFonts w:ascii="Arial" w:hAnsi="Arial" w:cs="Arial"/>
          <w:sz w:val="22"/>
          <w:szCs w:val="22"/>
          <w:lang w:eastAsia="en-US"/>
        </w:rPr>
        <w:t xml:space="preserve">Per tutto il periodo di durata delle </w:t>
      </w:r>
      <w:proofErr w:type="spellStart"/>
      <w:r w:rsidRPr="001F59CF">
        <w:rPr>
          <w:rFonts w:ascii="Arial" w:hAnsi="Arial" w:cs="Arial"/>
          <w:sz w:val="22"/>
          <w:szCs w:val="22"/>
          <w:lang w:eastAsia="en-US"/>
        </w:rPr>
        <w:t>subscription</w:t>
      </w:r>
      <w:proofErr w:type="spellEnd"/>
      <w:r w:rsidRPr="001F59CF">
        <w:rPr>
          <w:rFonts w:ascii="Arial" w:hAnsi="Arial" w:cs="Arial"/>
          <w:sz w:val="22"/>
          <w:szCs w:val="22"/>
          <w:lang w:eastAsia="en-US"/>
        </w:rPr>
        <w:t xml:space="preserve"> devono essere inoltre compresi nella fornitura i servizi di:</w:t>
      </w:r>
    </w:p>
    <w:p w14:paraId="33BFC0BE" w14:textId="77777777" w:rsidR="00671767" w:rsidRPr="001F59CF" w:rsidRDefault="00671767" w:rsidP="00671767">
      <w:pPr>
        <w:pStyle w:val="Paragrafoelenco"/>
        <w:numPr>
          <w:ilvl w:val="0"/>
          <w:numId w:val="12"/>
        </w:numPr>
        <w:suppressAutoHyphens/>
        <w:spacing w:after="120"/>
        <w:ind w:left="994" w:hanging="426"/>
        <w:jc w:val="both"/>
        <w:rPr>
          <w:rFonts w:ascii="Arial" w:hAnsi="Arial" w:cs="Arial"/>
          <w:sz w:val="22"/>
          <w:szCs w:val="22"/>
        </w:rPr>
      </w:pPr>
      <w:r w:rsidRPr="001F59CF">
        <w:rPr>
          <w:rFonts w:ascii="Arial" w:hAnsi="Arial" w:cs="Arial"/>
          <w:b/>
          <w:sz w:val="22"/>
          <w:szCs w:val="22"/>
        </w:rPr>
        <w:lastRenderedPageBreak/>
        <w:t>Supporto tecnico on-line</w:t>
      </w:r>
      <w:r w:rsidRPr="001F59CF">
        <w:rPr>
          <w:rFonts w:ascii="Arial" w:hAnsi="Arial" w:cs="Arial"/>
          <w:sz w:val="22"/>
          <w:szCs w:val="22"/>
        </w:rPr>
        <w:t xml:space="preserve">: il servizio deve essere disponibile 24 ore al giorno e 7 giorni la settimana (7x24x365), attraverso la disponibilità di accesso diretto al supporto sia telefonico che web secondo i seguenti SLA:  </w:t>
      </w:r>
    </w:p>
    <w:p w14:paraId="5E52011A" w14:textId="77777777" w:rsidR="00671767" w:rsidRPr="001F59CF" w:rsidRDefault="00671767" w:rsidP="00671767">
      <w:pPr>
        <w:spacing w:after="120"/>
        <w:jc w:val="both"/>
        <w:rPr>
          <w:rFonts w:ascii="Arial" w:hAnsi="Arial" w:cs="Arial"/>
          <w:sz w:val="22"/>
          <w:szCs w:val="22"/>
        </w:rPr>
      </w:pPr>
      <w:r w:rsidRPr="001F59CF">
        <w:rPr>
          <w:rFonts w:ascii="Arial" w:hAnsi="Arial" w:cs="Arial"/>
          <w:noProof/>
          <w:sz w:val="22"/>
          <w:szCs w:val="22"/>
        </w:rPr>
        <mc:AlternateContent>
          <mc:Choice Requires="wps">
            <w:drawing>
              <wp:anchor distT="0" distB="0" distL="89535" distR="89535" simplePos="0" relativeHeight="251659264" behindDoc="0" locked="0" layoutInCell="1" allowOverlap="1" wp14:anchorId="19E25C5F" wp14:editId="1BFE668E">
                <wp:simplePos x="0" y="0"/>
                <wp:positionH relativeFrom="margin">
                  <wp:align>center</wp:align>
                </wp:positionH>
                <wp:positionV relativeFrom="paragraph">
                  <wp:posOffset>127000</wp:posOffset>
                </wp:positionV>
                <wp:extent cx="3835400" cy="1689100"/>
                <wp:effectExtent l="0" t="0" r="0" b="0"/>
                <wp:wrapSquare wrapText="bothSides"/>
                <wp:docPr id="1" name="Cornice1"/>
                <wp:cNvGraphicFramePr/>
                <a:graphic xmlns:a="http://schemas.openxmlformats.org/drawingml/2006/main">
                  <a:graphicData uri="http://schemas.microsoft.com/office/word/2010/wordprocessingShape">
                    <wps:wsp>
                      <wps:cNvSpPr/>
                      <wps:spPr>
                        <a:xfrm>
                          <a:off x="0" y="0"/>
                          <a:ext cx="3834720" cy="1688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035" w:type="dxa"/>
                              <w:jc w:val="center"/>
                              <w:tblBorders>
                                <w:top w:val="single" w:sz="2" w:space="0" w:color="FFFFFF"/>
                                <w:left w:val="single" w:sz="4" w:space="0" w:color="000001"/>
                                <w:bottom w:val="single" w:sz="2" w:space="0" w:color="FFFFFF"/>
                                <w:right w:val="single" w:sz="4" w:space="0" w:color="000001"/>
                                <w:insideH w:val="single" w:sz="2" w:space="0" w:color="FFFFFF"/>
                                <w:insideV w:val="single" w:sz="4" w:space="0" w:color="000001"/>
                              </w:tblBorders>
                              <w:tblCellMar>
                                <w:left w:w="0" w:type="dxa"/>
                              </w:tblCellMar>
                              <w:tblLook w:val="04A0" w:firstRow="1" w:lastRow="0" w:firstColumn="1" w:lastColumn="0" w:noHBand="0" w:noVBand="1"/>
                            </w:tblPr>
                            <w:tblGrid>
                              <w:gridCol w:w="3492"/>
                              <w:gridCol w:w="2543"/>
                            </w:tblGrid>
                            <w:tr w:rsidR="00671767" w14:paraId="741AD41D"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52302261" w14:textId="77777777" w:rsidR="00671767" w:rsidRDefault="00671767">
                                  <w:pPr>
                                    <w:pStyle w:val="Contenutocornice"/>
                                    <w:jc w:val="center"/>
                                  </w:pPr>
                                  <w:r>
                                    <w:rPr>
                                      <w:b/>
                                      <w:color w:val="FFFFFF"/>
                                    </w:rPr>
                                    <w:t>Supporto telefonico e web</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A3C074" w14:textId="77777777" w:rsidR="00671767" w:rsidRDefault="00671767">
                                  <w:pPr>
                                    <w:pStyle w:val="Contenutocornice"/>
                                    <w:jc w:val="center"/>
                                  </w:pPr>
                                  <w:r>
                                    <w:rPr>
                                      <w:rFonts w:eastAsia="Tahoma"/>
                                      <w:lang w:val="en-US"/>
                                    </w:rPr>
                                    <w:t>24x7</w:t>
                                  </w:r>
                                </w:p>
                              </w:tc>
                            </w:tr>
                            <w:tr w:rsidR="00671767" w14:paraId="48E0535F"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444862A8" w14:textId="77777777" w:rsidR="00671767" w:rsidRDefault="00671767">
                                  <w:pPr>
                                    <w:pStyle w:val="Contenutocornice"/>
                                    <w:jc w:val="center"/>
                                  </w:pPr>
                                  <w:r>
                                    <w:rPr>
                                      <w:b/>
                                      <w:color w:val="FFFFFF"/>
                                    </w:rPr>
                                    <w:t xml:space="preserve">Tempo di risposta </w:t>
                                  </w:r>
                                  <w:proofErr w:type="spellStart"/>
                                  <w:r>
                                    <w:rPr>
                                      <w:b/>
                                      <w:color w:val="FFFFFF"/>
                                    </w:rPr>
                                    <w:t>severity</w:t>
                                  </w:r>
                                  <w:proofErr w:type="spellEnd"/>
                                  <w:r>
                                    <w:rPr>
                                      <w:b/>
                                      <w:color w:val="FFFFFF"/>
                                    </w:rPr>
                                    <w:t xml:space="preserve"> 1</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FDA644" w14:textId="77777777" w:rsidR="00671767" w:rsidRDefault="00671767">
                                  <w:pPr>
                                    <w:pStyle w:val="Contenutocornice"/>
                                    <w:jc w:val="center"/>
                                  </w:pPr>
                                  <w:r>
                                    <w:rPr>
                                      <w:rFonts w:eastAsia="Tahoma"/>
                                      <w:lang w:val="en-US"/>
                                    </w:rPr>
                                    <w:t xml:space="preserve">1 </w:t>
                                  </w:r>
                                  <w:proofErr w:type="spellStart"/>
                                  <w:r>
                                    <w:rPr>
                                      <w:rFonts w:eastAsia="Tahoma"/>
                                      <w:lang w:val="en-US"/>
                                    </w:rPr>
                                    <w:t>ora</w:t>
                                  </w:r>
                                  <w:proofErr w:type="spellEnd"/>
                                </w:p>
                              </w:tc>
                            </w:tr>
                            <w:tr w:rsidR="00671767" w14:paraId="22BAF054"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60EB4717" w14:textId="77777777" w:rsidR="00671767" w:rsidRDefault="00671767">
                                  <w:pPr>
                                    <w:pStyle w:val="Contenutocornice"/>
                                    <w:jc w:val="center"/>
                                  </w:pPr>
                                  <w:r>
                                    <w:rPr>
                                      <w:b/>
                                      <w:color w:val="FFFFFF"/>
                                    </w:rPr>
                                    <w:t xml:space="preserve">Tempo di risposta </w:t>
                                  </w:r>
                                  <w:proofErr w:type="spellStart"/>
                                  <w:r>
                                    <w:rPr>
                                      <w:b/>
                                      <w:color w:val="FFFFFF"/>
                                    </w:rPr>
                                    <w:t>severity</w:t>
                                  </w:r>
                                  <w:proofErr w:type="spellEnd"/>
                                  <w:r>
                                    <w:rPr>
                                      <w:b/>
                                      <w:color w:val="FFFFFF"/>
                                    </w:rPr>
                                    <w:t xml:space="preserve"> 2</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13268E" w14:textId="77777777" w:rsidR="00671767" w:rsidRDefault="00671767">
                                  <w:pPr>
                                    <w:pStyle w:val="Contenutocornice"/>
                                    <w:jc w:val="center"/>
                                  </w:pPr>
                                  <w:r>
                                    <w:rPr>
                                      <w:rFonts w:eastAsia="Tahoma"/>
                                      <w:lang w:val="en-US"/>
                                    </w:rPr>
                                    <w:t>2 ore</w:t>
                                  </w:r>
                                </w:p>
                              </w:tc>
                            </w:tr>
                            <w:tr w:rsidR="00671767" w14:paraId="294BD33D"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78A278B7" w14:textId="77777777" w:rsidR="00671767" w:rsidRDefault="00671767">
                                  <w:pPr>
                                    <w:pStyle w:val="Contenutocornice"/>
                                    <w:jc w:val="center"/>
                                  </w:pPr>
                                  <w:r>
                                    <w:rPr>
                                      <w:b/>
                                      <w:bCs/>
                                      <w:color w:val="FFFFFF"/>
                                    </w:rPr>
                                    <w:t xml:space="preserve">Tempo di risposta </w:t>
                                  </w:r>
                                  <w:proofErr w:type="spellStart"/>
                                  <w:r>
                                    <w:rPr>
                                      <w:b/>
                                      <w:bCs/>
                                      <w:color w:val="FFFFFF"/>
                                    </w:rPr>
                                    <w:t>severity</w:t>
                                  </w:r>
                                  <w:proofErr w:type="spellEnd"/>
                                  <w:r>
                                    <w:rPr>
                                      <w:b/>
                                      <w:bCs/>
                                      <w:color w:val="FFFFFF"/>
                                    </w:rPr>
                                    <w:t xml:space="preserve"> 3</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FDF926" w14:textId="77777777" w:rsidR="00671767" w:rsidRDefault="00671767">
                                  <w:pPr>
                                    <w:pStyle w:val="Contenutocornice"/>
                                    <w:jc w:val="center"/>
                                  </w:pPr>
                                  <w:r>
                                    <w:rPr>
                                      <w:rFonts w:eastAsia="Tahoma"/>
                                      <w:lang w:val="en-US"/>
                                    </w:rPr>
                                    <w:t>6 ore</w:t>
                                  </w:r>
                                </w:p>
                              </w:tc>
                            </w:tr>
                            <w:tr w:rsidR="00671767" w14:paraId="7A834BF1"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5CF399FC" w14:textId="77777777" w:rsidR="00671767" w:rsidRDefault="00671767">
                                  <w:pPr>
                                    <w:pStyle w:val="Contenutocornice"/>
                                    <w:jc w:val="center"/>
                                  </w:pPr>
                                  <w:r>
                                    <w:rPr>
                                      <w:b/>
                                      <w:bCs/>
                                      <w:color w:val="FFFFFF"/>
                                    </w:rPr>
                                    <w:t xml:space="preserve">Tempo di risposta </w:t>
                                  </w:r>
                                  <w:proofErr w:type="spellStart"/>
                                  <w:r>
                                    <w:rPr>
                                      <w:b/>
                                      <w:bCs/>
                                      <w:color w:val="FFFFFF"/>
                                    </w:rPr>
                                    <w:t>severity</w:t>
                                  </w:r>
                                  <w:proofErr w:type="spellEnd"/>
                                  <w:r>
                                    <w:rPr>
                                      <w:b/>
                                      <w:bCs/>
                                      <w:color w:val="FFFFFF"/>
                                    </w:rPr>
                                    <w:t xml:space="preserve"> 4</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6735B0" w14:textId="77777777" w:rsidR="00671767" w:rsidRDefault="00671767">
                                  <w:pPr>
                                    <w:pStyle w:val="Contenutocornice"/>
                                    <w:jc w:val="center"/>
                                  </w:pPr>
                                  <w:r>
                                    <w:rPr>
                                      <w:rFonts w:eastAsia="Tahoma"/>
                                      <w:lang w:val="en-US"/>
                                    </w:rPr>
                                    <w:t>12 ore</w:t>
                                  </w:r>
                                </w:p>
                              </w:tc>
                            </w:tr>
                          </w:tbl>
                          <w:p w14:paraId="1A0566CC" w14:textId="77777777" w:rsidR="00671767" w:rsidRDefault="00671767" w:rsidP="00671767">
                            <w:pPr>
                              <w:pStyle w:val="Contenutocornice"/>
                            </w:pPr>
                          </w:p>
                        </w:txbxContent>
                      </wps:txbx>
                      <wps:bodyPr lIns="0" tIns="0" rIns="0" bIns="0">
                        <a:spAutoFit/>
                      </wps:bodyPr>
                    </wps:wsp>
                  </a:graphicData>
                </a:graphic>
              </wp:anchor>
            </w:drawing>
          </mc:Choice>
          <mc:Fallback>
            <w:pict>
              <v:rect w14:anchorId="19E25C5F" id="Cornice1" o:spid="_x0000_s1026" style="position:absolute;left:0;text-align:left;margin-left:0;margin-top:10pt;width:302pt;height:133pt;z-index:251659264;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" filled="f" stroked="f">
                <v:textbox style="mso-fit-shape-to-text:t" inset="0,0,0,0">
                  <w:txbxContent>
                    <w:tbl>
                      <w:tblPr>
                        <w:tblW w:w="6035" w:type="dxa"/>
                        <w:jc w:val="center"/>
                        <w:tblBorders>
                          <w:top w:val="single" w:sz="2" w:space="0" w:color="FFFFFF"/>
                          <w:left w:val="single" w:sz="4" w:space="0" w:color="000001"/>
                          <w:bottom w:val="single" w:sz="2" w:space="0" w:color="FFFFFF"/>
                          <w:right w:val="single" w:sz="4" w:space="0" w:color="000001"/>
                          <w:insideH w:val="single" w:sz="2" w:space="0" w:color="FFFFFF"/>
                          <w:insideV w:val="single" w:sz="4" w:space="0" w:color="000001"/>
                        </w:tblBorders>
                        <w:tblCellMar>
                          <w:left w:w="0" w:type="dxa"/>
                        </w:tblCellMar>
                        <w:tblLook w:val="04A0" w:firstRow="1" w:lastRow="0" w:firstColumn="1" w:lastColumn="0" w:noHBand="0" w:noVBand="1"/>
                      </w:tblPr>
                      <w:tblGrid>
                        <w:gridCol w:w="3492"/>
                        <w:gridCol w:w="2543"/>
                      </w:tblGrid>
                      <w:tr w:rsidR="00671767" w14:paraId="741AD41D"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52302261" w14:textId="77777777" w:rsidR="00671767" w:rsidRDefault="00671767">
                            <w:pPr>
                              <w:pStyle w:val="Contenutocornice"/>
                              <w:jc w:val="center"/>
                            </w:pPr>
                            <w:r>
                              <w:rPr>
                                <w:b/>
                                <w:color w:val="FFFFFF"/>
                              </w:rPr>
                              <w:t>Supporto telefonico e web</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A3C074" w14:textId="77777777" w:rsidR="00671767" w:rsidRDefault="00671767">
                            <w:pPr>
                              <w:pStyle w:val="Contenutocornice"/>
                              <w:jc w:val="center"/>
                            </w:pPr>
                            <w:r>
                              <w:rPr>
                                <w:rFonts w:eastAsia="Tahoma"/>
                                <w:lang w:val="en-US"/>
                              </w:rPr>
                              <w:t>24x7</w:t>
                            </w:r>
                          </w:p>
                        </w:tc>
                      </w:tr>
                      <w:tr w:rsidR="00671767" w14:paraId="48E0535F"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444862A8" w14:textId="77777777" w:rsidR="00671767" w:rsidRDefault="00671767">
                            <w:pPr>
                              <w:pStyle w:val="Contenutocornice"/>
                              <w:jc w:val="center"/>
                            </w:pPr>
                            <w:r>
                              <w:rPr>
                                <w:b/>
                                <w:color w:val="FFFFFF"/>
                              </w:rPr>
                              <w:t xml:space="preserve">Tempo di risposta </w:t>
                            </w:r>
                            <w:proofErr w:type="spellStart"/>
                            <w:r>
                              <w:rPr>
                                <w:b/>
                                <w:color w:val="FFFFFF"/>
                              </w:rPr>
                              <w:t>severity</w:t>
                            </w:r>
                            <w:proofErr w:type="spellEnd"/>
                            <w:r>
                              <w:rPr>
                                <w:b/>
                                <w:color w:val="FFFFFF"/>
                              </w:rPr>
                              <w:t xml:space="preserve"> 1</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FDA644" w14:textId="77777777" w:rsidR="00671767" w:rsidRDefault="00671767">
                            <w:pPr>
                              <w:pStyle w:val="Contenutocornice"/>
                              <w:jc w:val="center"/>
                            </w:pPr>
                            <w:r>
                              <w:rPr>
                                <w:rFonts w:eastAsia="Tahoma"/>
                                <w:lang w:val="en-US"/>
                              </w:rPr>
                              <w:t xml:space="preserve">1 </w:t>
                            </w:r>
                            <w:proofErr w:type="spellStart"/>
                            <w:r>
                              <w:rPr>
                                <w:rFonts w:eastAsia="Tahoma"/>
                                <w:lang w:val="en-US"/>
                              </w:rPr>
                              <w:t>ora</w:t>
                            </w:r>
                            <w:proofErr w:type="spellEnd"/>
                          </w:p>
                        </w:tc>
                      </w:tr>
                      <w:tr w:rsidR="00671767" w14:paraId="22BAF054"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60EB4717" w14:textId="77777777" w:rsidR="00671767" w:rsidRDefault="00671767">
                            <w:pPr>
                              <w:pStyle w:val="Contenutocornice"/>
                              <w:jc w:val="center"/>
                            </w:pPr>
                            <w:r>
                              <w:rPr>
                                <w:b/>
                                <w:color w:val="FFFFFF"/>
                              </w:rPr>
                              <w:t xml:space="preserve">Tempo di risposta </w:t>
                            </w:r>
                            <w:proofErr w:type="spellStart"/>
                            <w:r>
                              <w:rPr>
                                <w:b/>
                                <w:color w:val="FFFFFF"/>
                              </w:rPr>
                              <w:t>severity</w:t>
                            </w:r>
                            <w:proofErr w:type="spellEnd"/>
                            <w:r>
                              <w:rPr>
                                <w:b/>
                                <w:color w:val="FFFFFF"/>
                              </w:rPr>
                              <w:t xml:space="preserve"> 2</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13268E" w14:textId="77777777" w:rsidR="00671767" w:rsidRDefault="00671767">
                            <w:pPr>
                              <w:pStyle w:val="Contenutocornice"/>
                              <w:jc w:val="center"/>
                            </w:pPr>
                            <w:r>
                              <w:rPr>
                                <w:rFonts w:eastAsia="Tahoma"/>
                                <w:lang w:val="en-US"/>
                              </w:rPr>
                              <w:t>2 ore</w:t>
                            </w:r>
                          </w:p>
                        </w:tc>
                      </w:tr>
                      <w:tr w:rsidR="00671767" w14:paraId="294BD33D"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78A278B7" w14:textId="77777777" w:rsidR="00671767" w:rsidRDefault="00671767">
                            <w:pPr>
                              <w:pStyle w:val="Contenutocornice"/>
                              <w:jc w:val="center"/>
                            </w:pPr>
                            <w:r>
                              <w:rPr>
                                <w:b/>
                                <w:bCs/>
                                <w:color w:val="FFFFFF"/>
                              </w:rPr>
                              <w:t xml:space="preserve">Tempo di risposta </w:t>
                            </w:r>
                            <w:proofErr w:type="spellStart"/>
                            <w:r>
                              <w:rPr>
                                <w:b/>
                                <w:bCs/>
                                <w:color w:val="FFFFFF"/>
                              </w:rPr>
                              <w:t>severity</w:t>
                            </w:r>
                            <w:proofErr w:type="spellEnd"/>
                            <w:r>
                              <w:rPr>
                                <w:b/>
                                <w:bCs/>
                                <w:color w:val="FFFFFF"/>
                              </w:rPr>
                              <w:t xml:space="preserve"> 3</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FDF926" w14:textId="77777777" w:rsidR="00671767" w:rsidRDefault="00671767">
                            <w:pPr>
                              <w:pStyle w:val="Contenutocornice"/>
                              <w:jc w:val="center"/>
                            </w:pPr>
                            <w:r>
                              <w:rPr>
                                <w:rFonts w:eastAsia="Tahoma"/>
                                <w:lang w:val="en-US"/>
                              </w:rPr>
                              <w:t>6 ore</w:t>
                            </w:r>
                          </w:p>
                        </w:tc>
                      </w:tr>
                      <w:tr w:rsidR="00671767" w14:paraId="7A834BF1" w14:textId="77777777">
                        <w:trPr>
                          <w:trHeight w:val="484"/>
                          <w:jc w:val="center"/>
                        </w:trPr>
                        <w:tc>
                          <w:tcPr>
                            <w:tcW w:w="3491" w:type="dxa"/>
                            <w:tcBorders>
                              <w:top w:val="single" w:sz="2" w:space="0" w:color="FFFFFF"/>
                              <w:left w:val="single" w:sz="4" w:space="0" w:color="000001"/>
                              <w:bottom w:val="single" w:sz="2" w:space="0" w:color="FFFFFF"/>
                              <w:right w:val="single" w:sz="4" w:space="0" w:color="000001"/>
                            </w:tcBorders>
                            <w:shd w:val="clear" w:color="auto" w:fill="365F91"/>
                            <w:vAlign w:val="center"/>
                          </w:tcPr>
                          <w:p w14:paraId="5CF399FC" w14:textId="77777777" w:rsidR="00671767" w:rsidRDefault="00671767">
                            <w:pPr>
                              <w:pStyle w:val="Contenutocornice"/>
                              <w:jc w:val="center"/>
                            </w:pPr>
                            <w:r>
                              <w:rPr>
                                <w:b/>
                                <w:bCs/>
                                <w:color w:val="FFFFFF"/>
                              </w:rPr>
                              <w:t xml:space="preserve">Tempo di risposta </w:t>
                            </w:r>
                            <w:proofErr w:type="spellStart"/>
                            <w:r>
                              <w:rPr>
                                <w:b/>
                                <w:bCs/>
                                <w:color w:val="FFFFFF"/>
                              </w:rPr>
                              <w:t>severity</w:t>
                            </w:r>
                            <w:proofErr w:type="spellEnd"/>
                            <w:r>
                              <w:rPr>
                                <w:b/>
                                <w:bCs/>
                                <w:color w:val="FFFFFF"/>
                              </w:rPr>
                              <w:t xml:space="preserve"> 4</w:t>
                            </w:r>
                          </w:p>
                        </w:tc>
                        <w:tc>
                          <w:tcPr>
                            <w:tcW w:w="25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6735B0" w14:textId="77777777" w:rsidR="00671767" w:rsidRDefault="00671767">
                            <w:pPr>
                              <w:pStyle w:val="Contenutocornice"/>
                              <w:jc w:val="center"/>
                            </w:pPr>
                            <w:r>
                              <w:rPr>
                                <w:rFonts w:eastAsia="Tahoma"/>
                                <w:lang w:val="en-US"/>
                              </w:rPr>
                              <w:t>12 ore</w:t>
                            </w:r>
                          </w:p>
                        </w:tc>
                      </w:tr>
                    </w:tbl>
                    <w:p w14:paraId="1A0566CC" w14:textId="77777777" w:rsidR="00671767" w:rsidRDefault="00671767" w:rsidP="00671767">
                      <w:pPr>
                        <w:pStyle w:val="Contenutocornice"/>
                      </w:pPr>
                    </w:p>
                  </w:txbxContent>
                </v:textbox>
                <w10:wrap type="square" anchorx="margin"/>
              </v:rect>
            </w:pict>
          </mc:Fallback>
        </mc:AlternateContent>
      </w:r>
    </w:p>
    <w:p w14:paraId="0B01389C" w14:textId="77777777" w:rsidR="00671767" w:rsidRPr="001F59CF" w:rsidRDefault="00671767" w:rsidP="00671767">
      <w:pPr>
        <w:pStyle w:val="Paragrafoelenco"/>
        <w:numPr>
          <w:ilvl w:val="0"/>
          <w:numId w:val="12"/>
        </w:numPr>
        <w:suppressAutoHyphens/>
        <w:spacing w:after="120"/>
        <w:jc w:val="both"/>
        <w:rPr>
          <w:rFonts w:ascii="Arial" w:hAnsi="Arial" w:cs="Arial"/>
          <w:sz w:val="22"/>
          <w:szCs w:val="22"/>
        </w:rPr>
      </w:pPr>
      <w:r w:rsidRPr="001F59CF">
        <w:rPr>
          <w:rFonts w:ascii="Arial" w:hAnsi="Arial" w:cs="Arial"/>
          <w:b/>
          <w:sz w:val="22"/>
          <w:szCs w:val="22"/>
        </w:rPr>
        <w:t xml:space="preserve">Accesso banche dati e </w:t>
      </w:r>
      <w:proofErr w:type="spellStart"/>
      <w:r w:rsidRPr="001F59CF">
        <w:rPr>
          <w:rFonts w:ascii="Arial" w:hAnsi="Arial" w:cs="Arial"/>
          <w:b/>
          <w:sz w:val="22"/>
          <w:szCs w:val="22"/>
        </w:rPr>
        <w:t>faq</w:t>
      </w:r>
      <w:proofErr w:type="spellEnd"/>
      <w:r w:rsidRPr="001F59CF">
        <w:rPr>
          <w:rFonts w:ascii="Arial" w:hAnsi="Arial" w:cs="Arial"/>
          <w:b/>
          <w:sz w:val="22"/>
          <w:szCs w:val="22"/>
        </w:rPr>
        <w:t>:</w:t>
      </w:r>
      <w:r w:rsidRPr="001F59CF">
        <w:rPr>
          <w:rFonts w:ascii="Arial" w:hAnsi="Arial" w:cs="Arial"/>
          <w:sz w:val="22"/>
          <w:szCs w:val="22"/>
        </w:rPr>
        <w:t xml:space="preserve"> disponibilità di account per accesso a banche dati, </w:t>
      </w:r>
      <w:proofErr w:type="spellStart"/>
      <w:r w:rsidRPr="001F59CF">
        <w:rPr>
          <w:rFonts w:ascii="Arial" w:hAnsi="Arial" w:cs="Arial"/>
          <w:sz w:val="22"/>
          <w:szCs w:val="22"/>
        </w:rPr>
        <w:t>faq</w:t>
      </w:r>
      <w:proofErr w:type="spellEnd"/>
      <w:r w:rsidRPr="001F59CF">
        <w:rPr>
          <w:rFonts w:ascii="Arial" w:hAnsi="Arial" w:cs="Arial"/>
          <w:sz w:val="22"/>
          <w:szCs w:val="22"/>
        </w:rPr>
        <w:t xml:space="preserve">, </w:t>
      </w:r>
      <w:proofErr w:type="spellStart"/>
      <w:r w:rsidRPr="001F59CF">
        <w:rPr>
          <w:rFonts w:ascii="Arial" w:hAnsi="Arial" w:cs="Arial"/>
          <w:sz w:val="22"/>
          <w:szCs w:val="22"/>
        </w:rPr>
        <w:t>etc</w:t>
      </w:r>
      <w:proofErr w:type="spellEnd"/>
    </w:p>
    <w:p w14:paraId="48E57D4E" w14:textId="77777777" w:rsidR="00671767" w:rsidRPr="001F59CF" w:rsidRDefault="00671767" w:rsidP="00671767">
      <w:pPr>
        <w:rPr>
          <w:rFonts w:ascii="Arial" w:hAnsi="Arial" w:cs="Arial"/>
          <w:sz w:val="22"/>
          <w:szCs w:val="22"/>
        </w:rPr>
      </w:pPr>
    </w:p>
    <w:p w14:paraId="270501DD" w14:textId="77777777" w:rsidR="00671767" w:rsidRPr="001F59CF" w:rsidRDefault="00671767" w:rsidP="00671767">
      <w:pPr>
        <w:pStyle w:val="Titolo2"/>
        <w:numPr>
          <w:ilvl w:val="1"/>
          <w:numId w:val="14"/>
        </w:numPr>
        <w:tabs>
          <w:tab w:val="left" w:pos="0"/>
          <w:tab w:val="left" w:pos="804"/>
        </w:tabs>
        <w:suppressAutoHyphens/>
        <w:spacing w:after="120"/>
        <w:jc w:val="both"/>
        <w:rPr>
          <w:rFonts w:ascii="Arial" w:hAnsi="Arial" w:cs="Arial"/>
          <w:b w:val="0"/>
          <w:sz w:val="22"/>
          <w:szCs w:val="22"/>
          <w:lang w:eastAsia="ar-SA"/>
        </w:rPr>
      </w:pPr>
      <w:bookmarkStart w:id="17" w:name="_Toc60934114"/>
      <w:bookmarkStart w:id="18" w:name="_Hlk57363182"/>
      <w:bookmarkStart w:id="19" w:name="_Toc85699037"/>
      <w:bookmarkEnd w:id="17"/>
      <w:bookmarkEnd w:id="18"/>
      <w:r w:rsidRPr="001F59CF">
        <w:rPr>
          <w:rFonts w:ascii="Arial" w:hAnsi="Arial" w:cs="Arial"/>
          <w:sz w:val="22"/>
          <w:szCs w:val="22"/>
        </w:rPr>
        <w:t>INSTALLAZIONE E CONFIGURAZIONE</w:t>
      </w:r>
      <w:bookmarkEnd w:id="19"/>
    </w:p>
    <w:p w14:paraId="06253DAD" w14:textId="77777777" w:rsidR="00671767" w:rsidRPr="001F59CF" w:rsidRDefault="00671767" w:rsidP="00671767">
      <w:pPr>
        <w:pStyle w:val="Titolo2"/>
        <w:tabs>
          <w:tab w:val="left" w:pos="804"/>
        </w:tabs>
        <w:spacing w:after="120"/>
        <w:ind w:left="804"/>
        <w:jc w:val="both"/>
        <w:rPr>
          <w:rFonts w:ascii="Arial" w:hAnsi="Arial" w:cs="Arial"/>
          <w:sz w:val="22"/>
          <w:szCs w:val="22"/>
        </w:rPr>
      </w:pPr>
      <w:bookmarkStart w:id="20" w:name="_Toc85699038"/>
      <w:r w:rsidRPr="001F59CF">
        <w:rPr>
          <w:rFonts w:ascii="Arial" w:hAnsi="Arial" w:cs="Arial"/>
          <w:sz w:val="22"/>
          <w:szCs w:val="22"/>
        </w:rPr>
        <w:t>2.2.</w:t>
      </w:r>
      <w:r w:rsidRPr="001F59CF">
        <w:rPr>
          <w:rFonts w:ascii="Arial" w:hAnsi="Arial" w:cs="Arial"/>
          <w:sz w:val="22"/>
          <w:szCs w:val="22"/>
        </w:rPr>
        <w:tab/>
        <w:t>SERVIZI PROFESSIONALI PER IL SUPPORTO SPECIALISTICO</w:t>
      </w:r>
      <w:bookmarkEnd w:id="20"/>
    </w:p>
    <w:p w14:paraId="5DBBC6C6" w14:textId="77777777" w:rsidR="00671767" w:rsidRPr="001F59CF" w:rsidRDefault="00671767" w:rsidP="00671767">
      <w:pPr>
        <w:ind w:left="568"/>
        <w:jc w:val="both"/>
        <w:rPr>
          <w:rFonts w:ascii="Arial" w:hAnsi="Arial" w:cs="Arial"/>
          <w:strike/>
          <w:sz w:val="22"/>
          <w:szCs w:val="22"/>
        </w:rPr>
      </w:pPr>
      <w:r w:rsidRPr="001F59CF">
        <w:rPr>
          <w:rFonts w:ascii="Arial" w:hAnsi="Arial" w:cs="Arial"/>
          <w:sz w:val="22"/>
          <w:szCs w:val="22"/>
          <w:lang w:eastAsia="en-US"/>
        </w:rPr>
        <w:t xml:space="preserve">Rientrano nella fornitura iniziale le </w:t>
      </w:r>
      <w:r w:rsidRPr="001F59CF">
        <w:rPr>
          <w:rFonts w:ascii="Arial" w:hAnsi="Arial" w:cs="Arial"/>
          <w:b/>
          <w:sz w:val="22"/>
          <w:szCs w:val="22"/>
          <w:lang w:eastAsia="en-US"/>
        </w:rPr>
        <w:t>10 giornate</w:t>
      </w:r>
      <w:r w:rsidRPr="001F59CF">
        <w:rPr>
          <w:rFonts w:ascii="Arial" w:hAnsi="Arial" w:cs="Arial"/>
          <w:sz w:val="22"/>
          <w:szCs w:val="22"/>
          <w:lang w:eastAsia="en-US"/>
        </w:rPr>
        <w:t xml:space="preserve"> di supporto specialistico </w:t>
      </w:r>
      <w:r w:rsidRPr="001F59CF">
        <w:rPr>
          <w:rFonts w:ascii="Arial" w:eastAsia="MS Mincho" w:hAnsi="Arial" w:cs="Arial"/>
          <w:color w:val="000000" w:themeColor="text1"/>
          <w:sz w:val="22"/>
          <w:szCs w:val="22"/>
        </w:rPr>
        <w:t xml:space="preserve">fruibili durante la durata del contratto </w:t>
      </w:r>
    </w:p>
    <w:p w14:paraId="07C58B3A" w14:textId="77777777" w:rsidR="00671767" w:rsidRPr="001F59CF" w:rsidRDefault="00671767" w:rsidP="00671767">
      <w:pPr>
        <w:pStyle w:val="Paragrafoelenco"/>
        <w:ind w:left="928"/>
        <w:jc w:val="both"/>
        <w:rPr>
          <w:rFonts w:ascii="Arial" w:hAnsi="Arial" w:cs="Arial"/>
          <w:sz w:val="22"/>
          <w:szCs w:val="22"/>
          <w:lang w:eastAsia="en-US"/>
        </w:rPr>
      </w:pPr>
    </w:p>
    <w:p w14:paraId="407AD5C2" w14:textId="77777777" w:rsidR="00671767" w:rsidRPr="001F59CF" w:rsidRDefault="00671767" w:rsidP="00671767">
      <w:pPr>
        <w:pStyle w:val="Titolo2"/>
        <w:numPr>
          <w:ilvl w:val="1"/>
          <w:numId w:val="14"/>
        </w:numPr>
        <w:tabs>
          <w:tab w:val="left" w:pos="0"/>
          <w:tab w:val="left" w:pos="804"/>
        </w:tabs>
        <w:suppressAutoHyphens/>
        <w:spacing w:after="120"/>
        <w:jc w:val="both"/>
        <w:rPr>
          <w:rFonts w:ascii="Arial" w:hAnsi="Arial" w:cs="Arial"/>
          <w:sz w:val="22"/>
          <w:szCs w:val="22"/>
        </w:rPr>
      </w:pPr>
      <w:bookmarkStart w:id="21" w:name="_Toc60934115"/>
      <w:bookmarkStart w:id="22" w:name="_Toc85699039"/>
      <w:bookmarkEnd w:id="21"/>
      <w:r w:rsidRPr="001F59CF">
        <w:rPr>
          <w:rFonts w:ascii="Arial" w:hAnsi="Arial" w:cs="Arial"/>
          <w:sz w:val="22"/>
          <w:szCs w:val="22"/>
        </w:rPr>
        <w:t>FORMAZIONE</w:t>
      </w:r>
      <w:bookmarkEnd w:id="22"/>
    </w:p>
    <w:p w14:paraId="43675B54" w14:textId="1724F834" w:rsidR="00671767" w:rsidRPr="001F59CF" w:rsidRDefault="00671767" w:rsidP="00671767">
      <w:pPr>
        <w:pStyle w:val="Paragrafoelenco"/>
        <w:spacing w:after="120"/>
        <w:ind w:left="426"/>
        <w:jc w:val="both"/>
        <w:rPr>
          <w:rFonts w:ascii="Arial" w:hAnsi="Arial" w:cs="Arial"/>
          <w:strike/>
          <w:sz w:val="22"/>
          <w:szCs w:val="22"/>
        </w:rPr>
      </w:pPr>
      <w:r w:rsidRPr="001F59CF">
        <w:rPr>
          <w:rFonts w:ascii="Arial" w:hAnsi="Arial" w:cs="Arial"/>
          <w:sz w:val="22"/>
          <w:szCs w:val="22"/>
          <w:lang w:eastAsia="en-US"/>
        </w:rPr>
        <w:t xml:space="preserve">Rientra nella fornitura iniziale </w:t>
      </w:r>
      <w:r w:rsidRPr="001F59CF">
        <w:rPr>
          <w:rFonts w:ascii="Arial" w:hAnsi="Arial" w:cs="Arial"/>
          <w:sz w:val="22"/>
          <w:szCs w:val="22"/>
        </w:rPr>
        <w:t>un corso di 5 giornate</w:t>
      </w:r>
      <w:r w:rsidRPr="001F59CF">
        <w:rPr>
          <w:rFonts w:ascii="Arial" w:hAnsi="Arial" w:cs="Arial"/>
          <w:sz w:val="22"/>
          <w:szCs w:val="22"/>
          <w:lang w:eastAsia="en-US"/>
        </w:rPr>
        <w:t xml:space="preserve"> di </w:t>
      </w:r>
      <w:r w:rsidRPr="001F59CF">
        <w:rPr>
          <w:rFonts w:ascii="Arial" w:hAnsi="Arial" w:cs="Arial"/>
          <w:sz w:val="22"/>
          <w:szCs w:val="22"/>
        </w:rPr>
        <w:t xml:space="preserve">servizio di formazione allo scopo di addestrare il personale (15 unità) del Consorzio sui sistemi Software forniti. </w:t>
      </w:r>
    </w:p>
    <w:p w14:paraId="57E36806" w14:textId="77777777" w:rsidR="00671767" w:rsidRPr="001F59CF" w:rsidRDefault="00671767" w:rsidP="00671767">
      <w:pPr>
        <w:rPr>
          <w:rFonts w:ascii="Arial" w:hAnsi="Arial" w:cs="Arial"/>
          <w:strike/>
          <w:sz w:val="22"/>
          <w:szCs w:val="22"/>
        </w:rPr>
      </w:pPr>
    </w:p>
    <w:p w14:paraId="4A1A9C19" w14:textId="77777777" w:rsidR="00671767" w:rsidRPr="001F59CF" w:rsidRDefault="00671767" w:rsidP="00671767">
      <w:pPr>
        <w:pStyle w:val="Titolo2"/>
        <w:numPr>
          <w:ilvl w:val="1"/>
          <w:numId w:val="14"/>
        </w:numPr>
        <w:tabs>
          <w:tab w:val="left" w:pos="0"/>
          <w:tab w:val="left" w:pos="804"/>
        </w:tabs>
        <w:suppressAutoHyphens/>
        <w:spacing w:after="120"/>
        <w:ind w:left="804" w:firstLine="0"/>
        <w:jc w:val="both"/>
        <w:rPr>
          <w:rFonts w:ascii="Arial" w:hAnsi="Arial" w:cs="Arial"/>
          <w:sz w:val="22"/>
          <w:szCs w:val="22"/>
        </w:rPr>
      </w:pPr>
      <w:bookmarkStart w:id="23" w:name="_Toc60934116"/>
      <w:bookmarkStart w:id="24" w:name="_Toc85699040"/>
      <w:r w:rsidRPr="001F59CF">
        <w:rPr>
          <w:rFonts w:ascii="Arial" w:hAnsi="Arial" w:cs="Arial"/>
          <w:sz w:val="22"/>
          <w:szCs w:val="22"/>
        </w:rPr>
        <w:t xml:space="preserve">SERVIZIO DI </w:t>
      </w:r>
      <w:bookmarkEnd w:id="23"/>
      <w:r w:rsidRPr="001F59CF">
        <w:rPr>
          <w:rFonts w:ascii="Arial" w:hAnsi="Arial" w:cs="Arial"/>
          <w:sz w:val="22"/>
          <w:szCs w:val="22"/>
        </w:rPr>
        <w:t>SUBSCRIPTION CEPH AGGIUNTIVE</w:t>
      </w:r>
      <w:bookmarkEnd w:id="24"/>
      <w:r w:rsidRPr="001F59CF">
        <w:rPr>
          <w:rFonts w:ascii="Arial" w:hAnsi="Arial" w:cs="Arial"/>
          <w:sz w:val="22"/>
          <w:szCs w:val="22"/>
        </w:rPr>
        <w:t xml:space="preserve"> </w:t>
      </w:r>
    </w:p>
    <w:p w14:paraId="79E356D3" w14:textId="77777777" w:rsidR="00671767" w:rsidRPr="001F59CF" w:rsidRDefault="00671767" w:rsidP="00671767">
      <w:pPr>
        <w:spacing w:after="120"/>
        <w:ind w:left="568"/>
        <w:jc w:val="both"/>
        <w:rPr>
          <w:rFonts w:ascii="Arial" w:hAnsi="Arial" w:cs="Arial"/>
          <w:sz w:val="22"/>
          <w:szCs w:val="22"/>
        </w:rPr>
      </w:pPr>
      <w:r w:rsidRPr="001F59CF">
        <w:rPr>
          <w:rFonts w:ascii="Arial" w:hAnsi="Arial" w:cs="Arial"/>
          <w:sz w:val="22"/>
          <w:szCs w:val="22"/>
        </w:rPr>
        <w:t xml:space="preserve">Il Consorzio, in corso di vigenza contrattuale e a seguito dell’acquisizione e all’installazione di ulteriori nodi nei due cluster già definiti o di nuova creazione si riserva la facoltà di richiedere - con cadenza annuale – e in base alle effettive esigenze che verranno riscontrate, l’attivazione di “Subscription </w:t>
      </w:r>
      <w:proofErr w:type="spellStart"/>
      <w:r w:rsidRPr="001F59CF">
        <w:rPr>
          <w:rFonts w:ascii="Arial" w:hAnsi="Arial" w:cs="Arial"/>
          <w:sz w:val="22"/>
          <w:szCs w:val="22"/>
        </w:rPr>
        <w:t>Ceph</w:t>
      </w:r>
      <w:proofErr w:type="spellEnd"/>
      <w:r w:rsidRPr="001F59CF">
        <w:rPr>
          <w:rFonts w:ascii="Arial" w:hAnsi="Arial" w:cs="Arial"/>
          <w:sz w:val="22"/>
          <w:szCs w:val="22"/>
        </w:rPr>
        <w:t xml:space="preserve">” aggiuntive alla fornitura minima garantita con analoghe specifiche tecniche e di configurazione. </w:t>
      </w:r>
    </w:p>
    <w:p w14:paraId="2186E480" w14:textId="7D61EEAB" w:rsidR="00671767" w:rsidRPr="001F59CF" w:rsidRDefault="00671767" w:rsidP="00671767">
      <w:pPr>
        <w:pStyle w:val="Standard"/>
        <w:suppressAutoHyphens w:val="0"/>
        <w:ind w:left="568"/>
        <w:rPr>
          <w:szCs w:val="22"/>
        </w:rPr>
      </w:pPr>
      <w:r w:rsidRPr="001F59CF">
        <w:rPr>
          <w:szCs w:val="22"/>
        </w:rPr>
        <w:t xml:space="preserve">Il corrispettivo effettivamente riconoscibile sarà determinato sulla base del numero di nodi ulteriori per i quali verrà richiesta l’attivazione delle </w:t>
      </w:r>
      <w:proofErr w:type="spellStart"/>
      <w:r w:rsidRPr="001F59CF">
        <w:rPr>
          <w:szCs w:val="22"/>
        </w:rPr>
        <w:t>subscription</w:t>
      </w:r>
      <w:proofErr w:type="spellEnd"/>
      <w:r w:rsidRPr="001F59CF">
        <w:rPr>
          <w:szCs w:val="22"/>
        </w:rPr>
        <w:t>, e dell’importo unitario annuo del nodo.</w:t>
      </w:r>
    </w:p>
    <w:p w14:paraId="4EF8C21D" w14:textId="77777777" w:rsidR="00671767" w:rsidRPr="001F59CF" w:rsidRDefault="00671767" w:rsidP="00671767">
      <w:pPr>
        <w:pStyle w:val="Standard"/>
        <w:suppressAutoHyphens w:val="0"/>
        <w:rPr>
          <w:szCs w:val="22"/>
        </w:rPr>
      </w:pPr>
    </w:p>
    <w:p w14:paraId="383BB48B" w14:textId="77777777" w:rsidR="00671767" w:rsidRPr="001F59CF" w:rsidRDefault="00671767" w:rsidP="00671767">
      <w:pPr>
        <w:pStyle w:val="Standard"/>
        <w:suppressAutoHyphens w:val="0"/>
        <w:ind w:left="568"/>
        <w:rPr>
          <w:szCs w:val="22"/>
        </w:rPr>
      </w:pPr>
      <w:r w:rsidRPr="001F59CF">
        <w:rPr>
          <w:szCs w:val="22"/>
        </w:rPr>
        <w:t xml:space="preserve">La richiesta di attivazione delle </w:t>
      </w:r>
      <w:proofErr w:type="spellStart"/>
      <w:r w:rsidRPr="001F59CF">
        <w:rPr>
          <w:szCs w:val="22"/>
        </w:rPr>
        <w:t>subscription</w:t>
      </w:r>
      <w:proofErr w:type="spellEnd"/>
      <w:r w:rsidRPr="001F59CF">
        <w:rPr>
          <w:szCs w:val="22"/>
        </w:rPr>
        <w:t xml:space="preserve"> aggiuntive sarà comunicata all’appaltatore che avrà l’obbligo di prestarle per le annualità residue fino alla data di scadenza delle </w:t>
      </w:r>
      <w:proofErr w:type="spellStart"/>
      <w:r w:rsidRPr="001F59CF">
        <w:rPr>
          <w:szCs w:val="22"/>
        </w:rPr>
        <w:t>subscription</w:t>
      </w:r>
      <w:proofErr w:type="spellEnd"/>
      <w:r w:rsidRPr="001F59CF">
        <w:rPr>
          <w:szCs w:val="22"/>
        </w:rPr>
        <w:t xml:space="preserve"> oggetto di prima fornitura.</w:t>
      </w:r>
    </w:p>
    <w:p w14:paraId="658A0273" w14:textId="77777777" w:rsidR="00671767" w:rsidRPr="001F59CF" w:rsidRDefault="00671767" w:rsidP="00671767">
      <w:pPr>
        <w:pStyle w:val="Standard"/>
        <w:suppressAutoHyphens w:val="0"/>
        <w:ind w:left="568"/>
        <w:rPr>
          <w:szCs w:val="22"/>
        </w:rPr>
      </w:pPr>
    </w:p>
    <w:p w14:paraId="5203F438" w14:textId="77777777" w:rsidR="00671767" w:rsidRPr="001F59CF" w:rsidRDefault="00671767" w:rsidP="001F59CF">
      <w:pPr>
        <w:pStyle w:val="Titolo1"/>
        <w:numPr>
          <w:ilvl w:val="0"/>
          <w:numId w:val="11"/>
        </w:numPr>
      </w:pPr>
      <w:bookmarkStart w:id="25" w:name="_Toc85699041"/>
      <w:r w:rsidRPr="001F59CF">
        <w:t>REQUISITI MINIMI</w:t>
      </w:r>
      <w:bookmarkEnd w:id="25"/>
      <w:r w:rsidRPr="001F59CF">
        <w:t xml:space="preserve"> </w:t>
      </w:r>
    </w:p>
    <w:p w14:paraId="7CBCF2E3" w14:textId="77777777" w:rsidR="00671767" w:rsidRPr="001F59CF" w:rsidRDefault="00671767" w:rsidP="00671767">
      <w:pPr>
        <w:spacing w:after="120"/>
        <w:jc w:val="both"/>
        <w:rPr>
          <w:rFonts w:ascii="Arial" w:hAnsi="Arial" w:cs="Arial"/>
          <w:sz w:val="22"/>
          <w:szCs w:val="22"/>
          <w:lang w:eastAsia="en-US"/>
        </w:rPr>
      </w:pPr>
      <w:r w:rsidRPr="001F59CF">
        <w:rPr>
          <w:rFonts w:ascii="Arial" w:hAnsi="Arial" w:cs="Arial"/>
          <w:sz w:val="22"/>
          <w:szCs w:val="22"/>
          <w:lang w:eastAsia="en-US"/>
        </w:rPr>
        <w:t xml:space="preserve">Di seguito sono elencati i </w:t>
      </w:r>
      <w:r w:rsidRPr="001F59CF">
        <w:rPr>
          <w:rFonts w:ascii="Arial" w:hAnsi="Arial" w:cs="Arial"/>
          <w:b/>
          <w:sz w:val="22"/>
          <w:szCs w:val="22"/>
          <w:lang w:eastAsia="en-US"/>
        </w:rPr>
        <w:t>requisiti minimi</w:t>
      </w:r>
      <w:r w:rsidRPr="001F59CF">
        <w:rPr>
          <w:rFonts w:ascii="Arial" w:hAnsi="Arial" w:cs="Arial"/>
          <w:sz w:val="22"/>
          <w:szCs w:val="22"/>
          <w:lang w:eastAsia="en-US"/>
        </w:rPr>
        <w:t xml:space="preserve"> che devono essere rispettati da tutte le componenti della fornitura.</w:t>
      </w:r>
    </w:p>
    <w:p w14:paraId="77BEF9E7" w14:textId="4570F330" w:rsidR="00671767" w:rsidRDefault="00671767" w:rsidP="00671767">
      <w:pPr>
        <w:spacing w:after="120"/>
        <w:ind w:left="360"/>
        <w:jc w:val="both"/>
        <w:rPr>
          <w:rFonts w:ascii="Arial" w:hAnsi="Arial" w:cs="Arial"/>
          <w:sz w:val="22"/>
          <w:szCs w:val="22"/>
        </w:rPr>
      </w:pPr>
    </w:p>
    <w:p w14:paraId="192E599F" w14:textId="2230F2CB" w:rsidR="005B2B51" w:rsidRDefault="005B2B51" w:rsidP="00671767">
      <w:pPr>
        <w:spacing w:after="120"/>
        <w:ind w:left="360"/>
        <w:jc w:val="both"/>
        <w:rPr>
          <w:rFonts w:ascii="Arial" w:hAnsi="Arial" w:cs="Arial"/>
          <w:sz w:val="22"/>
          <w:szCs w:val="22"/>
        </w:rPr>
      </w:pPr>
    </w:p>
    <w:p w14:paraId="4ADF1AE8" w14:textId="6C1802DB" w:rsidR="005B2B51" w:rsidRDefault="005B2B51" w:rsidP="00671767">
      <w:pPr>
        <w:spacing w:after="120"/>
        <w:ind w:left="360"/>
        <w:jc w:val="both"/>
        <w:rPr>
          <w:rFonts w:ascii="Arial" w:hAnsi="Arial" w:cs="Arial"/>
          <w:sz w:val="22"/>
          <w:szCs w:val="22"/>
        </w:rPr>
      </w:pPr>
    </w:p>
    <w:p w14:paraId="70327DD2" w14:textId="77777777" w:rsidR="005B2B51" w:rsidRPr="001F59CF" w:rsidRDefault="005B2B51" w:rsidP="00671767">
      <w:pPr>
        <w:spacing w:after="120"/>
        <w:ind w:left="360"/>
        <w:jc w:val="both"/>
        <w:rPr>
          <w:rFonts w:ascii="Arial" w:hAnsi="Arial" w:cs="Arial"/>
          <w:sz w:val="22"/>
          <w:szCs w:val="22"/>
        </w:rPr>
      </w:pPr>
    </w:p>
    <w:tbl>
      <w:tblPr>
        <w:tblpPr w:leftFromText="141" w:rightFromText="141" w:vertAnchor="text" w:horzAnchor="margin" w:tblpY="201"/>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firstRow="1" w:lastRow="0" w:firstColumn="1" w:lastColumn="0" w:noHBand="0" w:noVBand="1"/>
      </w:tblPr>
      <w:tblGrid>
        <w:gridCol w:w="1699"/>
        <w:gridCol w:w="7141"/>
      </w:tblGrid>
      <w:tr w:rsidR="00671767" w:rsidRPr="001F59CF" w14:paraId="6F4EC530" w14:textId="77777777" w:rsidTr="005B2B51">
        <w:trPr>
          <w:trHeight w:val="462"/>
        </w:trPr>
        <w:tc>
          <w:tcPr>
            <w:tcW w:w="1699" w:type="dxa"/>
            <w:shd w:val="clear" w:color="auto" w:fill="auto"/>
          </w:tcPr>
          <w:p w14:paraId="74861477" w14:textId="77777777" w:rsidR="00671767" w:rsidRPr="001F59CF" w:rsidRDefault="00671767" w:rsidP="00233CA8">
            <w:pPr>
              <w:shd w:val="clear" w:color="auto" w:fill="0084D1"/>
              <w:rPr>
                <w:rFonts w:ascii="Arial" w:hAnsi="Arial" w:cs="Arial"/>
                <w:b/>
                <w:bCs/>
                <w:color w:val="000000"/>
                <w:sz w:val="22"/>
                <w:szCs w:val="22"/>
              </w:rPr>
            </w:pPr>
            <w:r w:rsidRPr="001F59CF">
              <w:rPr>
                <w:rFonts w:ascii="Arial" w:hAnsi="Arial" w:cs="Arial"/>
                <w:b/>
                <w:bCs/>
                <w:color w:val="000000"/>
                <w:sz w:val="22"/>
                <w:szCs w:val="22"/>
              </w:rPr>
              <w:lastRenderedPageBreak/>
              <w:t>Codice Requisito</w:t>
            </w:r>
          </w:p>
        </w:tc>
        <w:tc>
          <w:tcPr>
            <w:tcW w:w="7141" w:type="dxa"/>
            <w:shd w:val="clear" w:color="auto" w:fill="auto"/>
          </w:tcPr>
          <w:p w14:paraId="56CC1BAE" w14:textId="77777777" w:rsidR="00671767" w:rsidRPr="001F59CF" w:rsidRDefault="00671767" w:rsidP="00233CA8">
            <w:pPr>
              <w:shd w:val="clear" w:color="auto" w:fill="0084D1"/>
              <w:spacing w:after="120"/>
              <w:jc w:val="both"/>
              <w:rPr>
                <w:rFonts w:ascii="Arial" w:hAnsi="Arial" w:cs="Arial"/>
                <w:sz w:val="22"/>
                <w:szCs w:val="22"/>
              </w:rPr>
            </w:pPr>
            <w:r w:rsidRPr="001F59CF">
              <w:rPr>
                <w:rFonts w:ascii="Arial" w:hAnsi="Arial" w:cs="Arial"/>
                <w:b/>
                <w:bCs/>
                <w:color w:val="000000"/>
                <w:sz w:val="22"/>
                <w:szCs w:val="22"/>
              </w:rPr>
              <w:t>DESCRIZIONE</w:t>
            </w:r>
          </w:p>
        </w:tc>
      </w:tr>
      <w:tr w:rsidR="00671767" w:rsidRPr="001F59CF" w14:paraId="32B64898" w14:textId="77777777" w:rsidTr="005B2B51">
        <w:trPr>
          <w:trHeight w:val="462"/>
        </w:trPr>
        <w:tc>
          <w:tcPr>
            <w:tcW w:w="1699" w:type="dxa"/>
            <w:shd w:val="clear" w:color="auto" w:fill="auto"/>
          </w:tcPr>
          <w:p w14:paraId="3BEFC09E"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REQ01</w:t>
            </w:r>
          </w:p>
        </w:tc>
        <w:tc>
          <w:tcPr>
            <w:tcW w:w="7141" w:type="dxa"/>
            <w:shd w:val="clear" w:color="auto" w:fill="auto"/>
          </w:tcPr>
          <w:p w14:paraId="77BD42BD" w14:textId="77777777" w:rsidR="00671767" w:rsidRPr="001F59CF" w:rsidRDefault="00671767" w:rsidP="00233CA8">
            <w:pPr>
              <w:spacing w:after="120"/>
              <w:jc w:val="both"/>
              <w:rPr>
                <w:rFonts w:ascii="Arial" w:hAnsi="Arial" w:cs="Arial"/>
                <w:sz w:val="22"/>
                <w:szCs w:val="22"/>
              </w:rPr>
            </w:pPr>
            <w:r w:rsidRPr="001F59CF">
              <w:rPr>
                <w:rFonts w:ascii="Arial" w:hAnsi="Arial" w:cs="Arial"/>
                <w:sz w:val="22"/>
                <w:szCs w:val="22"/>
              </w:rPr>
              <w:t xml:space="preserve">Integrazione completa con </w:t>
            </w:r>
            <w:proofErr w:type="spellStart"/>
            <w:r w:rsidRPr="001F59CF">
              <w:rPr>
                <w:rFonts w:ascii="Arial" w:hAnsi="Arial" w:cs="Arial"/>
                <w:sz w:val="22"/>
                <w:szCs w:val="22"/>
              </w:rPr>
              <w:t>openstack</w:t>
            </w:r>
            <w:proofErr w:type="spellEnd"/>
            <w:r w:rsidRPr="001F59CF">
              <w:rPr>
                <w:rFonts w:ascii="Arial" w:hAnsi="Arial" w:cs="Arial"/>
                <w:sz w:val="22"/>
                <w:szCs w:val="22"/>
              </w:rPr>
              <w:t xml:space="preserve"> community queens e successive e le versioni di </w:t>
            </w:r>
            <w:proofErr w:type="spellStart"/>
            <w:r w:rsidRPr="001F59CF">
              <w:rPr>
                <w:rFonts w:ascii="Arial" w:hAnsi="Arial" w:cs="Arial"/>
                <w:sz w:val="22"/>
                <w:szCs w:val="22"/>
              </w:rPr>
              <w:t>openstack</w:t>
            </w:r>
            <w:proofErr w:type="spellEnd"/>
            <w:r w:rsidRPr="001F59CF">
              <w:rPr>
                <w:rFonts w:ascii="Arial" w:hAnsi="Arial" w:cs="Arial"/>
                <w:sz w:val="22"/>
                <w:szCs w:val="22"/>
              </w:rPr>
              <w:t xml:space="preserve"> dei principali </w:t>
            </w:r>
            <w:proofErr w:type="spellStart"/>
            <w:r w:rsidRPr="001F59CF">
              <w:rPr>
                <w:rFonts w:ascii="Arial" w:hAnsi="Arial" w:cs="Arial"/>
                <w:sz w:val="22"/>
                <w:szCs w:val="22"/>
              </w:rPr>
              <w:t>vendor</w:t>
            </w:r>
            <w:proofErr w:type="spellEnd"/>
            <w:r w:rsidRPr="001F59CF">
              <w:rPr>
                <w:rFonts w:ascii="Arial" w:hAnsi="Arial" w:cs="Arial"/>
                <w:sz w:val="22"/>
                <w:szCs w:val="22"/>
              </w:rPr>
              <w:t xml:space="preserve"> (</w:t>
            </w:r>
            <w:proofErr w:type="spellStart"/>
            <w:r w:rsidRPr="001F59CF">
              <w:rPr>
                <w:rFonts w:ascii="Arial" w:hAnsi="Arial" w:cs="Arial"/>
                <w:sz w:val="22"/>
                <w:szCs w:val="22"/>
              </w:rPr>
              <w:t>Canonical</w:t>
            </w:r>
            <w:proofErr w:type="spellEnd"/>
            <w:r w:rsidRPr="001F59CF">
              <w:rPr>
                <w:rFonts w:ascii="Arial" w:hAnsi="Arial" w:cs="Arial"/>
                <w:sz w:val="22"/>
                <w:szCs w:val="22"/>
              </w:rPr>
              <w:t xml:space="preserve">, </w:t>
            </w:r>
            <w:proofErr w:type="spellStart"/>
            <w:r w:rsidRPr="001F59CF">
              <w:rPr>
                <w:rFonts w:ascii="Arial" w:hAnsi="Arial" w:cs="Arial"/>
                <w:sz w:val="22"/>
                <w:szCs w:val="22"/>
              </w:rPr>
              <w:t>Mirantis</w:t>
            </w:r>
            <w:proofErr w:type="spellEnd"/>
            <w:r w:rsidRPr="001F59CF">
              <w:rPr>
                <w:rFonts w:ascii="Arial" w:hAnsi="Arial" w:cs="Arial"/>
                <w:sz w:val="22"/>
                <w:szCs w:val="22"/>
              </w:rPr>
              <w:t xml:space="preserve">, </w:t>
            </w:r>
            <w:proofErr w:type="spellStart"/>
            <w:r w:rsidRPr="001F59CF">
              <w:rPr>
                <w:rFonts w:ascii="Arial" w:hAnsi="Arial" w:cs="Arial"/>
                <w:sz w:val="22"/>
                <w:szCs w:val="22"/>
              </w:rPr>
              <w:t>RedHat</w:t>
            </w:r>
            <w:proofErr w:type="spellEnd"/>
            <w:r w:rsidRPr="001F59CF">
              <w:rPr>
                <w:rFonts w:ascii="Arial" w:hAnsi="Arial" w:cs="Arial"/>
                <w:sz w:val="22"/>
                <w:szCs w:val="22"/>
              </w:rPr>
              <w:t>)</w:t>
            </w:r>
          </w:p>
        </w:tc>
      </w:tr>
      <w:tr w:rsidR="00671767" w:rsidRPr="001F59CF" w14:paraId="167F5C25" w14:textId="77777777" w:rsidTr="005B2B51">
        <w:trPr>
          <w:trHeight w:val="462"/>
        </w:trPr>
        <w:tc>
          <w:tcPr>
            <w:tcW w:w="1699" w:type="dxa"/>
            <w:shd w:val="clear" w:color="auto" w:fill="auto"/>
          </w:tcPr>
          <w:p w14:paraId="160BB37B"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REQ02</w:t>
            </w:r>
          </w:p>
        </w:tc>
        <w:tc>
          <w:tcPr>
            <w:tcW w:w="7141" w:type="dxa"/>
            <w:shd w:val="clear" w:color="auto" w:fill="auto"/>
          </w:tcPr>
          <w:p w14:paraId="59F13B5E" w14:textId="77777777" w:rsidR="00671767" w:rsidRPr="001F59CF" w:rsidRDefault="00671767" w:rsidP="00233CA8">
            <w:pPr>
              <w:spacing w:after="120"/>
              <w:jc w:val="both"/>
              <w:rPr>
                <w:rFonts w:ascii="Arial" w:hAnsi="Arial" w:cs="Arial"/>
                <w:sz w:val="22"/>
                <w:szCs w:val="22"/>
              </w:rPr>
            </w:pPr>
            <w:r w:rsidRPr="001F59CF">
              <w:rPr>
                <w:rFonts w:ascii="Arial" w:hAnsi="Arial" w:cs="Arial"/>
                <w:sz w:val="22"/>
                <w:szCs w:val="22"/>
              </w:rPr>
              <w:t xml:space="preserve">Upgrade della piattaforma </w:t>
            </w:r>
            <w:proofErr w:type="spellStart"/>
            <w:r w:rsidRPr="001F59CF">
              <w:rPr>
                <w:rFonts w:ascii="Arial" w:hAnsi="Arial" w:cs="Arial"/>
                <w:sz w:val="22"/>
                <w:szCs w:val="22"/>
              </w:rPr>
              <w:t>ceph</w:t>
            </w:r>
            <w:proofErr w:type="spellEnd"/>
            <w:r w:rsidRPr="001F59CF">
              <w:rPr>
                <w:rFonts w:ascii="Arial" w:hAnsi="Arial" w:cs="Arial"/>
                <w:sz w:val="22"/>
                <w:szCs w:val="22"/>
              </w:rPr>
              <w:t xml:space="preserve"> se richiesto da eventuali upgrade di </w:t>
            </w:r>
            <w:proofErr w:type="spellStart"/>
            <w:r w:rsidRPr="001F59CF">
              <w:rPr>
                <w:rFonts w:ascii="Arial" w:hAnsi="Arial" w:cs="Arial"/>
                <w:sz w:val="22"/>
                <w:szCs w:val="22"/>
              </w:rPr>
              <w:t>Openstack</w:t>
            </w:r>
            <w:proofErr w:type="spellEnd"/>
            <w:r w:rsidRPr="001F59CF">
              <w:rPr>
                <w:rFonts w:ascii="Arial" w:hAnsi="Arial" w:cs="Arial"/>
                <w:sz w:val="22"/>
                <w:szCs w:val="22"/>
              </w:rPr>
              <w:t xml:space="preserve">.  </w:t>
            </w:r>
            <w:r w:rsidRPr="001F59CF">
              <w:rPr>
                <w:rFonts w:ascii="Arial" w:hAnsi="Arial" w:cs="Arial"/>
                <w:b/>
                <w:sz w:val="22"/>
                <w:szCs w:val="22"/>
              </w:rPr>
              <w:t xml:space="preserve">Per le verifiche necessarie il Consorzio metterà a disposizione un ambiente di test costituito da un cluster </w:t>
            </w:r>
            <w:proofErr w:type="spellStart"/>
            <w:r w:rsidRPr="001F59CF">
              <w:rPr>
                <w:rFonts w:ascii="Arial" w:hAnsi="Arial" w:cs="Arial"/>
                <w:b/>
                <w:sz w:val="22"/>
                <w:szCs w:val="22"/>
              </w:rPr>
              <w:t>openstack</w:t>
            </w:r>
            <w:proofErr w:type="spellEnd"/>
            <w:r w:rsidRPr="001F59CF">
              <w:rPr>
                <w:rFonts w:ascii="Arial" w:hAnsi="Arial" w:cs="Arial"/>
                <w:b/>
                <w:sz w:val="22"/>
                <w:szCs w:val="22"/>
              </w:rPr>
              <w:t xml:space="preserve">, un cluster </w:t>
            </w:r>
            <w:proofErr w:type="spellStart"/>
            <w:r w:rsidRPr="001F59CF">
              <w:rPr>
                <w:rFonts w:ascii="Arial" w:hAnsi="Arial" w:cs="Arial"/>
                <w:b/>
                <w:sz w:val="22"/>
                <w:szCs w:val="22"/>
              </w:rPr>
              <w:t>vsphere</w:t>
            </w:r>
            <w:proofErr w:type="spellEnd"/>
            <w:r w:rsidRPr="001F59CF">
              <w:rPr>
                <w:rFonts w:ascii="Arial" w:hAnsi="Arial" w:cs="Arial"/>
                <w:b/>
                <w:sz w:val="22"/>
                <w:szCs w:val="22"/>
              </w:rPr>
              <w:t xml:space="preserve"> e un cluster </w:t>
            </w:r>
            <w:proofErr w:type="spellStart"/>
            <w:r w:rsidRPr="001F59CF">
              <w:rPr>
                <w:rFonts w:ascii="Arial" w:hAnsi="Arial" w:cs="Arial"/>
                <w:b/>
                <w:sz w:val="22"/>
                <w:szCs w:val="22"/>
              </w:rPr>
              <w:t>ceph</w:t>
            </w:r>
            <w:proofErr w:type="spellEnd"/>
          </w:p>
        </w:tc>
      </w:tr>
      <w:tr w:rsidR="00671767" w:rsidRPr="001F59CF" w14:paraId="7212D6D5" w14:textId="77777777" w:rsidTr="005B2B51">
        <w:trPr>
          <w:trHeight w:val="462"/>
        </w:trPr>
        <w:tc>
          <w:tcPr>
            <w:tcW w:w="1699" w:type="dxa"/>
            <w:shd w:val="clear" w:color="auto" w:fill="auto"/>
          </w:tcPr>
          <w:p w14:paraId="2EFEA67F"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REQ03</w:t>
            </w:r>
          </w:p>
        </w:tc>
        <w:tc>
          <w:tcPr>
            <w:tcW w:w="7141" w:type="dxa"/>
            <w:shd w:val="clear" w:color="auto" w:fill="auto"/>
          </w:tcPr>
          <w:p w14:paraId="7A4632AC" w14:textId="77777777" w:rsidR="00671767" w:rsidRPr="001F59CF" w:rsidRDefault="00671767" w:rsidP="00233CA8">
            <w:pPr>
              <w:spacing w:after="120"/>
              <w:jc w:val="both"/>
              <w:rPr>
                <w:rFonts w:ascii="Arial" w:hAnsi="Arial" w:cs="Arial"/>
                <w:sz w:val="22"/>
                <w:szCs w:val="22"/>
              </w:rPr>
            </w:pPr>
            <w:r w:rsidRPr="001F59CF">
              <w:rPr>
                <w:rFonts w:ascii="Arial" w:hAnsi="Arial" w:cs="Arial"/>
                <w:sz w:val="22"/>
                <w:szCs w:val="22"/>
              </w:rPr>
              <w:t>Configurazione con distinzione fra la rete public e quella cluster</w:t>
            </w:r>
          </w:p>
        </w:tc>
      </w:tr>
      <w:tr w:rsidR="00671767" w:rsidRPr="001F59CF" w14:paraId="685D0CBC" w14:textId="77777777" w:rsidTr="005B2B51">
        <w:trPr>
          <w:trHeight w:val="717"/>
        </w:trPr>
        <w:tc>
          <w:tcPr>
            <w:tcW w:w="1699" w:type="dxa"/>
            <w:shd w:val="clear" w:color="auto" w:fill="auto"/>
          </w:tcPr>
          <w:p w14:paraId="57C8AE60"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REQ04</w:t>
            </w:r>
          </w:p>
        </w:tc>
        <w:tc>
          <w:tcPr>
            <w:tcW w:w="7141" w:type="dxa"/>
            <w:shd w:val="clear" w:color="auto" w:fill="auto"/>
          </w:tcPr>
          <w:p w14:paraId="48D68299" w14:textId="77777777" w:rsidR="00671767" w:rsidRPr="001F59CF" w:rsidRDefault="00671767" w:rsidP="00233CA8">
            <w:pPr>
              <w:spacing w:after="120"/>
              <w:jc w:val="both"/>
              <w:rPr>
                <w:rFonts w:ascii="Arial" w:hAnsi="Arial" w:cs="Arial"/>
                <w:sz w:val="22"/>
                <w:szCs w:val="22"/>
              </w:rPr>
            </w:pPr>
            <w:r w:rsidRPr="001F59CF">
              <w:rPr>
                <w:rFonts w:ascii="Arial" w:hAnsi="Arial" w:cs="Arial"/>
                <w:sz w:val="22"/>
                <w:szCs w:val="22"/>
              </w:rPr>
              <w:t xml:space="preserve">Integrazione con </w:t>
            </w:r>
            <w:proofErr w:type="spellStart"/>
            <w:r w:rsidRPr="001F59CF">
              <w:rPr>
                <w:rFonts w:ascii="Arial" w:hAnsi="Arial" w:cs="Arial"/>
                <w:sz w:val="22"/>
                <w:szCs w:val="22"/>
              </w:rPr>
              <w:t>vmware</w:t>
            </w:r>
            <w:proofErr w:type="spellEnd"/>
            <w:r w:rsidRPr="001F59CF">
              <w:rPr>
                <w:rFonts w:ascii="Arial" w:hAnsi="Arial" w:cs="Arial"/>
                <w:sz w:val="22"/>
                <w:szCs w:val="22"/>
              </w:rPr>
              <w:t xml:space="preserve"> </w:t>
            </w:r>
            <w:proofErr w:type="spellStart"/>
            <w:r w:rsidRPr="001F59CF">
              <w:rPr>
                <w:rFonts w:ascii="Arial" w:hAnsi="Arial" w:cs="Arial"/>
                <w:sz w:val="22"/>
                <w:szCs w:val="22"/>
              </w:rPr>
              <w:t>vcenter</w:t>
            </w:r>
            <w:proofErr w:type="spellEnd"/>
            <w:r w:rsidRPr="001F59CF">
              <w:rPr>
                <w:rFonts w:ascii="Arial" w:hAnsi="Arial" w:cs="Arial"/>
                <w:sz w:val="22"/>
                <w:szCs w:val="22"/>
              </w:rPr>
              <w:t xml:space="preserve"> 6.5 e successive tramite </w:t>
            </w:r>
            <w:proofErr w:type="spellStart"/>
            <w:r w:rsidRPr="001F59CF">
              <w:rPr>
                <w:rFonts w:ascii="Arial" w:hAnsi="Arial" w:cs="Arial"/>
                <w:sz w:val="22"/>
                <w:szCs w:val="22"/>
              </w:rPr>
              <w:t>iscsi</w:t>
            </w:r>
            <w:proofErr w:type="spellEnd"/>
            <w:r w:rsidRPr="001F59CF">
              <w:rPr>
                <w:rFonts w:ascii="Arial" w:hAnsi="Arial" w:cs="Arial"/>
                <w:sz w:val="22"/>
                <w:szCs w:val="22"/>
              </w:rPr>
              <w:t xml:space="preserve"> </w:t>
            </w:r>
            <w:proofErr w:type="spellStart"/>
            <w:r w:rsidRPr="001F59CF">
              <w:rPr>
                <w:rFonts w:ascii="Arial" w:hAnsi="Arial" w:cs="Arial"/>
                <w:sz w:val="22"/>
                <w:szCs w:val="22"/>
              </w:rPr>
              <w:t>gw</w:t>
            </w:r>
            <w:proofErr w:type="spellEnd"/>
            <w:r w:rsidRPr="001F59CF">
              <w:rPr>
                <w:rFonts w:ascii="Arial" w:hAnsi="Arial" w:cs="Arial"/>
                <w:sz w:val="22"/>
                <w:szCs w:val="22"/>
              </w:rPr>
              <w:t xml:space="preserve"> in alta affidabilità</w:t>
            </w:r>
          </w:p>
        </w:tc>
      </w:tr>
      <w:tr w:rsidR="00671767" w:rsidRPr="001F59CF" w14:paraId="3721F154" w14:textId="77777777" w:rsidTr="005B2B51">
        <w:trPr>
          <w:trHeight w:val="436"/>
        </w:trPr>
        <w:tc>
          <w:tcPr>
            <w:tcW w:w="1699" w:type="dxa"/>
            <w:shd w:val="clear" w:color="auto" w:fill="auto"/>
          </w:tcPr>
          <w:p w14:paraId="54BE6A61"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REQ05</w:t>
            </w:r>
          </w:p>
        </w:tc>
        <w:tc>
          <w:tcPr>
            <w:tcW w:w="7141" w:type="dxa"/>
            <w:shd w:val="clear" w:color="auto" w:fill="auto"/>
          </w:tcPr>
          <w:p w14:paraId="2803DC2A" w14:textId="77777777" w:rsidR="00671767" w:rsidRPr="001F59CF" w:rsidRDefault="00671767" w:rsidP="00233CA8">
            <w:pPr>
              <w:jc w:val="both"/>
              <w:rPr>
                <w:rFonts w:ascii="Arial" w:hAnsi="Arial" w:cs="Arial"/>
                <w:sz w:val="22"/>
                <w:szCs w:val="22"/>
              </w:rPr>
            </w:pPr>
            <w:r w:rsidRPr="001F59CF">
              <w:rPr>
                <w:rFonts w:ascii="Arial" w:hAnsi="Arial" w:cs="Arial"/>
                <w:color w:val="000000" w:themeColor="text1"/>
                <w:sz w:val="22"/>
                <w:szCs w:val="22"/>
              </w:rPr>
              <w:t>Compatibilità allo standard S3 per poter essere utilizzato dai tutti i client già presenti sul mercato</w:t>
            </w:r>
          </w:p>
        </w:tc>
      </w:tr>
      <w:tr w:rsidR="00671767" w:rsidRPr="001F59CF" w14:paraId="65409EA7" w14:textId="77777777" w:rsidTr="005B2B51">
        <w:trPr>
          <w:trHeight w:val="130"/>
        </w:trPr>
        <w:tc>
          <w:tcPr>
            <w:tcW w:w="1699" w:type="dxa"/>
            <w:shd w:val="clear" w:color="auto" w:fill="auto"/>
          </w:tcPr>
          <w:p w14:paraId="2C33F497"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REQ06</w:t>
            </w:r>
          </w:p>
        </w:tc>
        <w:tc>
          <w:tcPr>
            <w:tcW w:w="7141" w:type="dxa"/>
            <w:shd w:val="clear" w:color="auto" w:fill="auto"/>
          </w:tcPr>
          <w:p w14:paraId="5469431D" w14:textId="77777777" w:rsidR="00671767" w:rsidRPr="001F59CF" w:rsidRDefault="00671767" w:rsidP="00233CA8">
            <w:pPr>
              <w:tabs>
                <w:tab w:val="left" w:pos="426"/>
              </w:tabs>
              <w:spacing w:after="120"/>
              <w:jc w:val="both"/>
              <w:rPr>
                <w:rFonts w:ascii="Arial" w:hAnsi="Arial" w:cs="Arial"/>
                <w:sz w:val="22"/>
                <w:szCs w:val="22"/>
              </w:rPr>
            </w:pPr>
            <w:r w:rsidRPr="001F59CF">
              <w:rPr>
                <w:rFonts w:ascii="Arial" w:eastAsia="MS Mincho" w:hAnsi="Arial" w:cs="Arial"/>
                <w:color w:val="000000"/>
                <w:sz w:val="22"/>
                <w:szCs w:val="22"/>
              </w:rPr>
              <w:t xml:space="preserve">le funzionalità di </w:t>
            </w:r>
            <w:proofErr w:type="spellStart"/>
            <w:r w:rsidRPr="001F59CF">
              <w:rPr>
                <w:rFonts w:ascii="Arial" w:eastAsia="MS Mincho" w:hAnsi="Arial" w:cs="Arial"/>
                <w:color w:val="000000"/>
                <w:sz w:val="22"/>
                <w:szCs w:val="22"/>
              </w:rPr>
              <w:t>rbd-mirror</w:t>
            </w:r>
            <w:proofErr w:type="spellEnd"/>
            <w:r w:rsidRPr="001F59CF">
              <w:rPr>
                <w:rFonts w:ascii="Arial" w:eastAsia="MS Mincho" w:hAnsi="Arial" w:cs="Arial"/>
                <w:color w:val="000000"/>
                <w:sz w:val="22"/>
                <w:szCs w:val="22"/>
              </w:rPr>
              <w:t xml:space="preserve"> per la replica dei volumi </w:t>
            </w:r>
            <w:proofErr w:type="spellStart"/>
            <w:r w:rsidRPr="001F59CF">
              <w:rPr>
                <w:rFonts w:ascii="Arial" w:eastAsia="MS Mincho" w:hAnsi="Arial" w:cs="Arial"/>
                <w:color w:val="000000"/>
                <w:sz w:val="22"/>
                <w:szCs w:val="22"/>
              </w:rPr>
              <w:t>openstack</w:t>
            </w:r>
            <w:proofErr w:type="spellEnd"/>
            <w:r w:rsidRPr="001F59CF">
              <w:rPr>
                <w:rFonts w:ascii="Arial" w:eastAsia="MS Mincho" w:hAnsi="Arial" w:cs="Arial"/>
                <w:color w:val="000000"/>
                <w:sz w:val="22"/>
                <w:szCs w:val="22"/>
              </w:rPr>
              <w:t xml:space="preserve">, dovrà avvenire da almeno un pool del cluster di Torino verso Vercelli, e da almeno un pool del cluster di Vercelli verso Torino con la possibilità di </w:t>
            </w:r>
            <w:proofErr w:type="spellStart"/>
            <w:r w:rsidRPr="001F59CF">
              <w:rPr>
                <w:rFonts w:ascii="Arial" w:eastAsia="MS Mincho" w:hAnsi="Arial" w:cs="Arial"/>
                <w:color w:val="000000"/>
                <w:sz w:val="22"/>
                <w:szCs w:val="22"/>
              </w:rPr>
              <w:t>promote</w:t>
            </w:r>
            <w:proofErr w:type="spellEnd"/>
            <w:r w:rsidRPr="001F59CF">
              <w:rPr>
                <w:rFonts w:ascii="Arial" w:eastAsia="MS Mincho" w:hAnsi="Arial" w:cs="Arial"/>
                <w:color w:val="000000"/>
                <w:sz w:val="22"/>
                <w:szCs w:val="22"/>
              </w:rPr>
              <w:t xml:space="preserve"> e </w:t>
            </w:r>
            <w:proofErr w:type="spellStart"/>
            <w:r w:rsidRPr="001F59CF">
              <w:rPr>
                <w:rFonts w:ascii="Arial" w:eastAsia="MS Mincho" w:hAnsi="Arial" w:cs="Arial"/>
                <w:color w:val="000000"/>
                <w:sz w:val="22"/>
                <w:szCs w:val="22"/>
              </w:rPr>
              <w:t>demote</w:t>
            </w:r>
            <w:proofErr w:type="spellEnd"/>
            <w:r w:rsidRPr="001F59CF">
              <w:rPr>
                <w:rFonts w:ascii="Arial" w:eastAsia="MS Mincho" w:hAnsi="Arial" w:cs="Arial"/>
                <w:color w:val="000000"/>
                <w:sz w:val="22"/>
                <w:szCs w:val="22"/>
              </w:rPr>
              <w:t xml:space="preserve"> su entrambi</w:t>
            </w:r>
          </w:p>
        </w:tc>
      </w:tr>
      <w:tr w:rsidR="00671767" w:rsidRPr="001F59CF" w14:paraId="1E8BE423" w14:textId="77777777" w:rsidTr="005B2B51">
        <w:trPr>
          <w:trHeight w:val="430"/>
        </w:trPr>
        <w:tc>
          <w:tcPr>
            <w:tcW w:w="1699" w:type="dxa"/>
            <w:shd w:val="clear" w:color="auto" w:fill="auto"/>
          </w:tcPr>
          <w:p w14:paraId="7B1354D1"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REQ07</w:t>
            </w:r>
          </w:p>
        </w:tc>
        <w:tc>
          <w:tcPr>
            <w:tcW w:w="7141" w:type="dxa"/>
            <w:shd w:val="clear" w:color="auto" w:fill="auto"/>
          </w:tcPr>
          <w:p w14:paraId="2FA9C233" w14:textId="77777777" w:rsidR="00671767" w:rsidRPr="001F59CF" w:rsidRDefault="00671767" w:rsidP="00233CA8">
            <w:pPr>
              <w:jc w:val="both"/>
              <w:rPr>
                <w:rFonts w:ascii="Arial" w:hAnsi="Arial" w:cs="Arial"/>
                <w:sz w:val="22"/>
                <w:szCs w:val="22"/>
              </w:rPr>
            </w:pPr>
            <w:r w:rsidRPr="001F59CF">
              <w:rPr>
                <w:rFonts w:ascii="Arial" w:eastAsia="MS Mincho" w:hAnsi="Arial" w:cs="Arial"/>
                <w:color w:val="000000" w:themeColor="text1"/>
                <w:sz w:val="22"/>
                <w:szCs w:val="22"/>
              </w:rPr>
              <w:t xml:space="preserve">Object </w:t>
            </w:r>
            <w:proofErr w:type="spellStart"/>
            <w:r w:rsidRPr="001F59CF">
              <w:rPr>
                <w:rFonts w:ascii="Arial" w:eastAsia="MS Mincho" w:hAnsi="Arial" w:cs="Arial"/>
                <w:color w:val="000000" w:themeColor="text1"/>
                <w:sz w:val="22"/>
                <w:szCs w:val="22"/>
              </w:rPr>
              <w:t>Sorage</w:t>
            </w:r>
            <w:proofErr w:type="spellEnd"/>
            <w:r w:rsidRPr="001F59CF">
              <w:rPr>
                <w:rFonts w:ascii="Arial" w:eastAsia="MS Mincho" w:hAnsi="Arial" w:cs="Arial"/>
                <w:color w:val="000000" w:themeColor="text1"/>
                <w:sz w:val="22"/>
                <w:szCs w:val="22"/>
              </w:rPr>
              <w:t xml:space="preserve"> Multi-Site comprendente le tutte le </w:t>
            </w:r>
            <w:proofErr w:type="spellStart"/>
            <w:r w:rsidRPr="001F59CF">
              <w:rPr>
                <w:rFonts w:ascii="Arial" w:eastAsia="MS Mincho" w:hAnsi="Arial" w:cs="Arial"/>
                <w:color w:val="000000" w:themeColor="text1"/>
                <w:sz w:val="22"/>
                <w:szCs w:val="22"/>
              </w:rPr>
              <w:t>availability</w:t>
            </w:r>
            <w:proofErr w:type="spellEnd"/>
            <w:r w:rsidRPr="001F59CF">
              <w:rPr>
                <w:rFonts w:ascii="Arial" w:eastAsia="MS Mincho" w:hAnsi="Arial" w:cs="Arial"/>
                <w:color w:val="000000" w:themeColor="text1"/>
                <w:sz w:val="22"/>
                <w:szCs w:val="22"/>
              </w:rPr>
              <w:t xml:space="preserve"> zones</w:t>
            </w:r>
          </w:p>
        </w:tc>
      </w:tr>
      <w:tr w:rsidR="00671767" w:rsidRPr="001F59CF" w14:paraId="6BEFEEC3" w14:textId="77777777" w:rsidTr="005B2B51">
        <w:trPr>
          <w:trHeight w:val="495"/>
        </w:trPr>
        <w:tc>
          <w:tcPr>
            <w:tcW w:w="1699" w:type="dxa"/>
            <w:shd w:val="clear" w:color="auto" w:fill="auto"/>
          </w:tcPr>
          <w:p w14:paraId="77BBE2BC"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REQ08</w:t>
            </w:r>
          </w:p>
        </w:tc>
        <w:tc>
          <w:tcPr>
            <w:tcW w:w="7141" w:type="dxa"/>
            <w:shd w:val="clear" w:color="auto" w:fill="auto"/>
          </w:tcPr>
          <w:p w14:paraId="7DF64632" w14:textId="77777777" w:rsidR="00671767" w:rsidRPr="001F59CF" w:rsidRDefault="00671767" w:rsidP="00233CA8">
            <w:pPr>
              <w:jc w:val="both"/>
              <w:rPr>
                <w:rFonts w:ascii="Arial" w:hAnsi="Arial" w:cs="Arial"/>
                <w:sz w:val="22"/>
                <w:szCs w:val="22"/>
              </w:rPr>
            </w:pPr>
            <w:r w:rsidRPr="001F59CF">
              <w:rPr>
                <w:rFonts w:ascii="Arial" w:eastAsia="MS Mincho" w:hAnsi="Arial" w:cs="Arial"/>
                <w:color w:val="000000" w:themeColor="text1"/>
                <w:sz w:val="22"/>
                <w:szCs w:val="22"/>
              </w:rPr>
              <w:t xml:space="preserve">La soluzione non deve presentare lock-in ma alla scadenza del supporto deve essere possibile utilizzare tutte le funzionalità anche in caso di mancato rinnovo delle </w:t>
            </w:r>
            <w:proofErr w:type="spellStart"/>
            <w:r w:rsidRPr="001F59CF">
              <w:rPr>
                <w:rFonts w:ascii="Arial" w:eastAsia="MS Mincho" w:hAnsi="Arial" w:cs="Arial"/>
                <w:color w:val="000000" w:themeColor="text1"/>
                <w:sz w:val="22"/>
                <w:szCs w:val="22"/>
              </w:rPr>
              <w:t>subscription</w:t>
            </w:r>
            <w:proofErr w:type="spellEnd"/>
          </w:p>
        </w:tc>
      </w:tr>
      <w:tr w:rsidR="00671767" w:rsidRPr="001F59CF" w14:paraId="17BE9F37" w14:textId="77777777" w:rsidTr="005B2B51">
        <w:trPr>
          <w:trHeight w:val="356"/>
        </w:trPr>
        <w:tc>
          <w:tcPr>
            <w:tcW w:w="1699" w:type="dxa"/>
            <w:shd w:val="clear" w:color="auto" w:fill="auto"/>
          </w:tcPr>
          <w:p w14:paraId="6EA79FC1" w14:textId="77777777" w:rsidR="00671767" w:rsidRPr="001F59CF" w:rsidRDefault="00671767" w:rsidP="00233CA8">
            <w:pPr>
              <w:rPr>
                <w:rFonts w:ascii="Arial" w:hAnsi="Arial" w:cs="Arial"/>
                <w:b/>
                <w:bCs/>
                <w:color w:val="000000"/>
                <w:sz w:val="22"/>
                <w:szCs w:val="22"/>
              </w:rPr>
            </w:pPr>
            <w:r w:rsidRPr="001F59CF">
              <w:rPr>
                <w:rFonts w:ascii="Arial" w:hAnsi="Arial" w:cs="Arial"/>
                <w:b/>
                <w:bCs/>
                <w:color w:val="000000"/>
                <w:sz w:val="22"/>
                <w:szCs w:val="22"/>
              </w:rPr>
              <w:t>REQ09</w:t>
            </w:r>
          </w:p>
        </w:tc>
        <w:tc>
          <w:tcPr>
            <w:tcW w:w="7141" w:type="dxa"/>
            <w:shd w:val="clear" w:color="auto" w:fill="auto"/>
          </w:tcPr>
          <w:p w14:paraId="2FA8A520" w14:textId="77777777" w:rsidR="00671767" w:rsidRPr="001F59CF" w:rsidRDefault="00671767" w:rsidP="00233CA8">
            <w:pPr>
              <w:jc w:val="both"/>
              <w:rPr>
                <w:rFonts w:ascii="Arial" w:hAnsi="Arial" w:cs="Arial"/>
                <w:sz w:val="22"/>
                <w:szCs w:val="22"/>
              </w:rPr>
            </w:pPr>
            <w:r w:rsidRPr="001F59CF">
              <w:rPr>
                <w:rFonts w:ascii="Arial" w:eastAsia="MS Mincho" w:hAnsi="Arial" w:cs="Arial"/>
                <w:color w:val="000000" w:themeColor="text1"/>
                <w:sz w:val="22"/>
                <w:szCs w:val="22"/>
              </w:rPr>
              <w:t xml:space="preserve">La fornitura deve comprendere l’installazione di due cluster, uno a Torino e uno a Vercelli con l’abilitazione del </w:t>
            </w:r>
            <w:proofErr w:type="spellStart"/>
            <w:r w:rsidRPr="001F59CF">
              <w:rPr>
                <w:rFonts w:ascii="Arial" w:eastAsia="MS Mincho" w:hAnsi="Arial" w:cs="Arial"/>
                <w:color w:val="000000" w:themeColor="text1"/>
                <w:sz w:val="22"/>
                <w:szCs w:val="22"/>
              </w:rPr>
              <w:t>mirror</w:t>
            </w:r>
            <w:proofErr w:type="spellEnd"/>
            <w:r w:rsidRPr="001F59CF">
              <w:rPr>
                <w:rFonts w:ascii="Arial" w:eastAsia="MS Mincho" w:hAnsi="Arial" w:cs="Arial"/>
                <w:color w:val="000000" w:themeColor="text1"/>
                <w:sz w:val="22"/>
                <w:szCs w:val="22"/>
              </w:rPr>
              <w:t xml:space="preserve"> di almeno un pool </w:t>
            </w:r>
            <w:proofErr w:type="spellStart"/>
            <w:proofErr w:type="gramStart"/>
            <w:r w:rsidRPr="001F59CF">
              <w:rPr>
                <w:rFonts w:ascii="Arial" w:eastAsia="MS Mincho" w:hAnsi="Arial" w:cs="Arial"/>
                <w:color w:val="000000" w:themeColor="text1"/>
                <w:sz w:val="22"/>
                <w:szCs w:val="22"/>
              </w:rPr>
              <w:t>rbd</w:t>
            </w:r>
            <w:proofErr w:type="spellEnd"/>
            <w:r w:rsidRPr="001F59CF">
              <w:rPr>
                <w:rFonts w:ascii="Arial" w:eastAsia="MS Mincho" w:hAnsi="Arial" w:cs="Arial"/>
                <w:color w:val="000000" w:themeColor="text1"/>
                <w:sz w:val="22"/>
                <w:szCs w:val="22"/>
              </w:rPr>
              <w:t xml:space="preserve">  da</w:t>
            </w:r>
            <w:proofErr w:type="gramEnd"/>
            <w:r w:rsidRPr="001F59CF">
              <w:rPr>
                <w:rFonts w:ascii="Arial" w:eastAsia="MS Mincho" w:hAnsi="Arial" w:cs="Arial"/>
                <w:color w:val="000000" w:themeColor="text1"/>
                <w:sz w:val="22"/>
                <w:szCs w:val="22"/>
              </w:rPr>
              <w:t xml:space="preserve"> Torino a Vercelli e di almeno un pool da Vercelli a Torino e l’abilitazione del </w:t>
            </w:r>
            <w:proofErr w:type="spellStart"/>
            <w:r w:rsidRPr="001F59CF">
              <w:rPr>
                <w:rFonts w:ascii="Arial" w:eastAsia="MS Mincho" w:hAnsi="Arial" w:cs="Arial"/>
                <w:color w:val="000000" w:themeColor="text1"/>
                <w:sz w:val="22"/>
                <w:szCs w:val="22"/>
              </w:rPr>
              <w:t>multisite</w:t>
            </w:r>
            <w:proofErr w:type="spellEnd"/>
            <w:r w:rsidRPr="001F59CF">
              <w:rPr>
                <w:rFonts w:ascii="Arial" w:eastAsia="MS Mincho" w:hAnsi="Arial" w:cs="Arial"/>
                <w:color w:val="000000" w:themeColor="text1"/>
                <w:sz w:val="22"/>
                <w:szCs w:val="22"/>
              </w:rPr>
              <w:t xml:space="preserve"> </w:t>
            </w:r>
            <w:proofErr w:type="spellStart"/>
            <w:r w:rsidRPr="001F59CF">
              <w:rPr>
                <w:rFonts w:ascii="Arial" w:eastAsia="MS Mincho" w:hAnsi="Arial" w:cs="Arial"/>
                <w:color w:val="000000" w:themeColor="text1"/>
                <w:sz w:val="22"/>
                <w:szCs w:val="22"/>
              </w:rPr>
              <w:t>object</w:t>
            </w:r>
            <w:proofErr w:type="spellEnd"/>
            <w:r w:rsidRPr="001F59CF">
              <w:rPr>
                <w:rFonts w:ascii="Arial" w:eastAsia="MS Mincho" w:hAnsi="Arial" w:cs="Arial"/>
                <w:color w:val="000000" w:themeColor="text1"/>
                <w:sz w:val="22"/>
                <w:szCs w:val="22"/>
              </w:rPr>
              <w:t xml:space="preserve"> storage. Deve essere anche fornita la documentazione e la formazione sugli strumenti utilizzati dal fornitore per aggiunta di ulteriori cluster e/o nodi e per l’abilitazione delle repliche (object e block storage)</w:t>
            </w:r>
          </w:p>
          <w:p w14:paraId="73D399C2" w14:textId="77777777" w:rsidR="00671767" w:rsidRPr="001F59CF" w:rsidRDefault="00671767" w:rsidP="00233CA8">
            <w:pPr>
              <w:jc w:val="both"/>
              <w:rPr>
                <w:rFonts w:ascii="Arial" w:eastAsia="MS Mincho" w:hAnsi="Arial" w:cs="Arial"/>
                <w:color w:val="000000"/>
                <w:sz w:val="22"/>
                <w:szCs w:val="22"/>
              </w:rPr>
            </w:pPr>
          </w:p>
        </w:tc>
      </w:tr>
    </w:tbl>
    <w:p w14:paraId="06EEBEA6" w14:textId="77777777" w:rsidR="00671767" w:rsidRPr="001F59CF" w:rsidRDefault="00671767" w:rsidP="00671767">
      <w:pPr>
        <w:spacing w:after="120"/>
        <w:jc w:val="both"/>
        <w:rPr>
          <w:rFonts w:ascii="Arial" w:hAnsi="Arial" w:cs="Arial"/>
          <w:sz w:val="22"/>
          <w:szCs w:val="22"/>
          <w:lang w:eastAsia="en-US"/>
        </w:rPr>
      </w:pPr>
    </w:p>
    <w:p w14:paraId="39B1A32E" w14:textId="6BBB49C3" w:rsidR="001F59CF" w:rsidRDefault="001F59CF" w:rsidP="001F59CF">
      <w:pPr>
        <w:pStyle w:val="Titolo1"/>
      </w:pPr>
      <w:bookmarkStart w:id="26" w:name="_Toc60934122"/>
      <w:bookmarkStart w:id="27" w:name="_Ref482277220"/>
      <w:bookmarkStart w:id="28" w:name="_Toc60934125"/>
      <w:bookmarkStart w:id="29" w:name="_Toc85699043"/>
      <w:bookmarkEnd w:id="26"/>
      <w:bookmarkEnd w:id="27"/>
      <w:bookmarkEnd w:id="28"/>
    </w:p>
    <w:p w14:paraId="57509A38" w14:textId="021F37B0" w:rsidR="001F59CF" w:rsidRDefault="001F59CF" w:rsidP="001F59CF">
      <w:pPr>
        <w:pStyle w:val="Titolo1"/>
      </w:pPr>
    </w:p>
    <w:p w14:paraId="02A8068D" w14:textId="030FF7C4" w:rsidR="001F59CF" w:rsidRDefault="001F59CF" w:rsidP="001F59CF">
      <w:pPr>
        <w:pStyle w:val="Titolo1"/>
      </w:pPr>
    </w:p>
    <w:p w14:paraId="16A0C895" w14:textId="313BB8B0" w:rsidR="001F59CF" w:rsidRDefault="001F59CF" w:rsidP="001F59CF">
      <w:pPr>
        <w:pStyle w:val="Titolo1"/>
      </w:pPr>
    </w:p>
    <w:p w14:paraId="5B29104C" w14:textId="51630B80" w:rsidR="001F59CF" w:rsidRDefault="001F59CF" w:rsidP="001F59CF">
      <w:pPr>
        <w:pStyle w:val="Titolo1"/>
      </w:pPr>
    </w:p>
    <w:p w14:paraId="5FBD09CF" w14:textId="722E4202" w:rsidR="001F59CF" w:rsidRDefault="001F59CF" w:rsidP="001F59CF">
      <w:pPr>
        <w:pStyle w:val="Titolo1"/>
      </w:pPr>
    </w:p>
    <w:p w14:paraId="73A73192" w14:textId="7025AF23" w:rsidR="001F59CF" w:rsidRDefault="001F59CF" w:rsidP="001F59CF">
      <w:pPr>
        <w:pStyle w:val="Titolo1"/>
      </w:pPr>
    </w:p>
    <w:p w14:paraId="70BCD0B7" w14:textId="169FF831" w:rsidR="001F59CF" w:rsidRDefault="001F59CF" w:rsidP="001F59CF">
      <w:pPr>
        <w:pStyle w:val="Titolo1"/>
      </w:pPr>
    </w:p>
    <w:p w14:paraId="2B4399A6" w14:textId="77777777" w:rsidR="005B2B51" w:rsidRDefault="005B2B51" w:rsidP="005B2B51">
      <w:pPr>
        <w:pStyle w:val="Titolo1"/>
      </w:pPr>
    </w:p>
    <w:p w14:paraId="12011F15" w14:textId="501233B5" w:rsidR="001F59CF" w:rsidRDefault="001F59CF" w:rsidP="001F59CF">
      <w:pPr>
        <w:pStyle w:val="Titolo1"/>
      </w:pPr>
    </w:p>
    <w:p w14:paraId="655680BE" w14:textId="4295D8A2" w:rsidR="001F59CF" w:rsidRDefault="001F59CF" w:rsidP="001F59CF">
      <w:pPr>
        <w:pStyle w:val="Titolo1"/>
      </w:pPr>
    </w:p>
    <w:p w14:paraId="09A49001" w14:textId="09351EFA" w:rsidR="001F59CF" w:rsidRDefault="001F59CF" w:rsidP="001F59CF">
      <w:pPr>
        <w:pStyle w:val="Titolo1"/>
      </w:pPr>
    </w:p>
    <w:p w14:paraId="55F22187" w14:textId="44FD2789" w:rsidR="001F59CF" w:rsidRDefault="001F59CF" w:rsidP="001F59CF">
      <w:pPr>
        <w:pStyle w:val="Titolo1"/>
      </w:pPr>
    </w:p>
    <w:p w14:paraId="3EE29766" w14:textId="15D6FBB9" w:rsidR="001F59CF" w:rsidRDefault="001F59CF" w:rsidP="001F59CF">
      <w:pPr>
        <w:pStyle w:val="Titolo1"/>
      </w:pPr>
    </w:p>
    <w:p w14:paraId="7383AF9C" w14:textId="1DF4F7D9" w:rsidR="001F59CF" w:rsidRDefault="001F59CF" w:rsidP="001F59CF">
      <w:pPr>
        <w:pStyle w:val="Titolo1"/>
      </w:pPr>
    </w:p>
    <w:p w14:paraId="59D50331" w14:textId="5BE853F4" w:rsidR="001F59CF" w:rsidRDefault="001F59CF" w:rsidP="001F59CF">
      <w:pPr>
        <w:pStyle w:val="Titolo1"/>
      </w:pPr>
    </w:p>
    <w:p w14:paraId="7AE999B8" w14:textId="6EBB1F21" w:rsidR="001F59CF" w:rsidRDefault="001F59CF" w:rsidP="001F59CF">
      <w:pPr>
        <w:pStyle w:val="Titolo1"/>
      </w:pPr>
    </w:p>
    <w:p w14:paraId="1014AC97" w14:textId="643667E7" w:rsidR="00671767" w:rsidRPr="005B2B51" w:rsidRDefault="00671767" w:rsidP="001F59CF">
      <w:pPr>
        <w:pStyle w:val="Titolo1"/>
        <w:numPr>
          <w:ilvl w:val="0"/>
          <w:numId w:val="11"/>
        </w:numPr>
      </w:pPr>
      <w:r w:rsidRPr="005B2B51">
        <w:t>LIVELLI DI SERVIZIO</w:t>
      </w:r>
      <w:bookmarkEnd w:id="29"/>
    </w:p>
    <w:p w14:paraId="6ECBC576" w14:textId="77777777" w:rsidR="00671767" w:rsidRPr="001F59CF" w:rsidRDefault="00671767" w:rsidP="00671767">
      <w:pPr>
        <w:pStyle w:val="Titolo2"/>
        <w:numPr>
          <w:ilvl w:val="1"/>
          <w:numId w:val="11"/>
        </w:numPr>
        <w:tabs>
          <w:tab w:val="left" w:pos="0"/>
          <w:tab w:val="left" w:pos="1134"/>
        </w:tabs>
        <w:suppressAutoHyphens/>
        <w:spacing w:after="120"/>
        <w:ind w:left="1134" w:hanging="425"/>
        <w:rPr>
          <w:rFonts w:ascii="Arial" w:hAnsi="Arial" w:cs="Arial"/>
          <w:sz w:val="22"/>
          <w:szCs w:val="22"/>
        </w:rPr>
      </w:pPr>
      <w:bookmarkStart w:id="30" w:name="_Toc22995181"/>
      <w:bookmarkStart w:id="31" w:name="_Toc22045131"/>
      <w:bookmarkStart w:id="32" w:name="_Toc22995135"/>
      <w:bookmarkStart w:id="33" w:name="_Toc482280233"/>
      <w:bookmarkStart w:id="34" w:name="_Toc22023506"/>
      <w:bookmarkStart w:id="35" w:name="_Toc22969578"/>
      <w:bookmarkStart w:id="36" w:name="_Toc23000866"/>
      <w:bookmarkStart w:id="37" w:name="_Toc21931472"/>
      <w:bookmarkStart w:id="38" w:name="_Toc22886021"/>
      <w:bookmarkStart w:id="39" w:name="_Toc482951445"/>
      <w:bookmarkStart w:id="40" w:name="_Toc21935342"/>
      <w:bookmarkStart w:id="41" w:name="_Toc23241860"/>
      <w:bookmarkStart w:id="42" w:name="_Toc22971689"/>
      <w:bookmarkStart w:id="43" w:name="_Toc22887437"/>
      <w:bookmarkStart w:id="44" w:name="_Toc22887097"/>
      <w:bookmarkStart w:id="45" w:name="_Toc21932187"/>
      <w:bookmarkStart w:id="46" w:name="_Toc60934126"/>
      <w:bookmarkStart w:id="47" w:name="_Toc482280943"/>
      <w:bookmarkStart w:id="48" w:name="_Toc22550497"/>
      <w:bookmarkStart w:id="49" w:name="_Toc23150191"/>
      <w:bookmarkStart w:id="50" w:name="_Toc482288960"/>
      <w:bookmarkStart w:id="51" w:name="_Toc21932228"/>
      <w:bookmarkStart w:id="52" w:name="_Toc482281017"/>
      <w:bookmarkStart w:id="53" w:name="_Toc22018448"/>
      <w:bookmarkStart w:id="54" w:name="_Toc21932147"/>
      <w:bookmarkStart w:id="55" w:name="_Toc482363336"/>
      <w:bookmarkStart w:id="56" w:name="_Toc22189389"/>
      <w:bookmarkStart w:id="57" w:name="_Toc8569904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1F59CF">
        <w:rPr>
          <w:rFonts w:ascii="Arial" w:hAnsi="Arial" w:cs="Arial"/>
          <w:sz w:val="22"/>
          <w:szCs w:val="22"/>
        </w:rPr>
        <w:t>Modalità e finestra di servizio</w:t>
      </w:r>
      <w:bookmarkEnd w:id="57"/>
    </w:p>
    <w:p w14:paraId="1A631F67" w14:textId="77777777" w:rsidR="00671767" w:rsidRPr="001F59CF" w:rsidRDefault="00671767" w:rsidP="00671767">
      <w:pPr>
        <w:spacing w:after="120"/>
        <w:jc w:val="both"/>
        <w:rPr>
          <w:rFonts w:ascii="Arial" w:hAnsi="Arial" w:cs="Arial"/>
          <w:sz w:val="22"/>
          <w:szCs w:val="22"/>
        </w:rPr>
      </w:pPr>
      <w:r w:rsidRPr="001F59CF">
        <w:rPr>
          <w:rFonts w:ascii="Arial" w:hAnsi="Arial" w:cs="Arial"/>
          <w:sz w:val="22"/>
          <w:szCs w:val="22"/>
          <w:lang w:eastAsia="en-US"/>
        </w:rPr>
        <w:t xml:space="preserve">Il servizio di assistenza e manutenzione software </w:t>
      </w:r>
      <w:r w:rsidRPr="001F59CF">
        <w:rPr>
          <w:rFonts w:ascii="Arial" w:hAnsi="Arial" w:cs="Arial"/>
          <w:sz w:val="22"/>
          <w:szCs w:val="22"/>
          <w:vertAlign w:val="subscript"/>
          <w:lang w:eastAsia="en-US"/>
        </w:rPr>
        <w:t>di cui al precedente articolo 3.1,</w:t>
      </w:r>
      <w:r w:rsidRPr="001F59CF">
        <w:rPr>
          <w:rFonts w:ascii="Arial" w:hAnsi="Arial" w:cs="Arial"/>
          <w:sz w:val="22"/>
          <w:szCs w:val="22"/>
          <w:lang w:eastAsia="en-US"/>
        </w:rPr>
        <w:t xml:space="preserve"> dovrà essere attivo 24h al giorno per 365 giorni l’anno a far data dall’Avvio del servizio di </w:t>
      </w:r>
      <w:proofErr w:type="spellStart"/>
      <w:r w:rsidRPr="001F59CF">
        <w:rPr>
          <w:rFonts w:ascii="Arial" w:hAnsi="Arial" w:cs="Arial"/>
          <w:sz w:val="22"/>
          <w:szCs w:val="22"/>
          <w:lang w:eastAsia="en-US"/>
        </w:rPr>
        <w:t>subscription</w:t>
      </w:r>
      <w:proofErr w:type="spellEnd"/>
      <w:r w:rsidRPr="001F59CF">
        <w:rPr>
          <w:rFonts w:ascii="Arial" w:hAnsi="Arial" w:cs="Arial"/>
          <w:sz w:val="22"/>
          <w:szCs w:val="22"/>
          <w:lang w:eastAsia="en-US"/>
        </w:rPr>
        <w:t xml:space="preserve"> e dei servizi correlati.</w:t>
      </w:r>
    </w:p>
    <w:p w14:paraId="67B87CAB" w14:textId="77777777" w:rsidR="00671767" w:rsidRPr="001F59CF" w:rsidRDefault="00671767" w:rsidP="00671767">
      <w:pPr>
        <w:pStyle w:val="Titolo2"/>
        <w:numPr>
          <w:ilvl w:val="1"/>
          <w:numId w:val="11"/>
        </w:numPr>
        <w:tabs>
          <w:tab w:val="left" w:pos="0"/>
          <w:tab w:val="left" w:pos="1134"/>
        </w:tabs>
        <w:suppressAutoHyphens/>
        <w:spacing w:after="120"/>
        <w:ind w:left="1134" w:hanging="425"/>
        <w:rPr>
          <w:rFonts w:ascii="Arial" w:hAnsi="Arial" w:cs="Arial"/>
          <w:sz w:val="22"/>
          <w:szCs w:val="22"/>
        </w:rPr>
      </w:pPr>
      <w:bookmarkStart w:id="58" w:name="_Ref482280667"/>
      <w:bookmarkStart w:id="59" w:name="_Toc60934127"/>
      <w:bookmarkStart w:id="60" w:name="_Ref482280690"/>
      <w:bookmarkStart w:id="61" w:name="_Toc85699045"/>
      <w:bookmarkEnd w:id="58"/>
      <w:bookmarkEnd w:id="59"/>
      <w:bookmarkEnd w:id="60"/>
      <w:r w:rsidRPr="001F59CF">
        <w:rPr>
          <w:rFonts w:ascii="Arial" w:hAnsi="Arial" w:cs="Arial"/>
          <w:sz w:val="22"/>
          <w:szCs w:val="22"/>
        </w:rPr>
        <w:t>Classificazioni</w:t>
      </w:r>
      <w:bookmarkEnd w:id="61"/>
    </w:p>
    <w:p w14:paraId="2B93AC8D" w14:textId="77777777" w:rsidR="00671767" w:rsidRPr="001F59CF" w:rsidRDefault="00671767" w:rsidP="00671767">
      <w:pPr>
        <w:spacing w:after="120"/>
        <w:jc w:val="both"/>
        <w:rPr>
          <w:rFonts w:ascii="Arial" w:hAnsi="Arial" w:cs="Arial"/>
          <w:sz w:val="22"/>
          <w:szCs w:val="22"/>
        </w:rPr>
      </w:pPr>
      <w:r w:rsidRPr="001F59CF">
        <w:rPr>
          <w:rFonts w:ascii="Arial" w:hAnsi="Arial" w:cs="Arial"/>
          <w:sz w:val="22"/>
          <w:szCs w:val="22"/>
          <w:lang w:eastAsia="en-US"/>
        </w:rPr>
        <w:t>In caso di rilevamento anomalie, sarà compito di Assistenza Operativa comunicare all’Appaltatore il malfunzionamento rilevato, ed assegnare all’anomalia una classe di gravità seguendo i criteri illustrati nella seguente tabella.</w:t>
      </w:r>
    </w:p>
    <w:p w14:paraId="0EC05EB8" w14:textId="77777777" w:rsidR="00671767" w:rsidRPr="001F59CF" w:rsidRDefault="00671767" w:rsidP="00671767">
      <w:pPr>
        <w:pStyle w:val="Paragrafoelenco"/>
        <w:numPr>
          <w:ilvl w:val="0"/>
          <w:numId w:val="16"/>
        </w:numPr>
        <w:suppressAutoHyphens/>
        <w:spacing w:after="120"/>
        <w:jc w:val="both"/>
        <w:rPr>
          <w:rFonts w:ascii="Arial" w:hAnsi="Arial" w:cs="Arial"/>
          <w:b/>
          <w:color w:val="000000"/>
          <w:sz w:val="22"/>
          <w:szCs w:val="22"/>
        </w:rPr>
      </w:pPr>
      <w:r w:rsidRPr="001F59CF">
        <w:rPr>
          <w:rFonts w:ascii="Arial" w:hAnsi="Arial" w:cs="Arial"/>
          <w:b/>
          <w:color w:val="000000"/>
          <w:sz w:val="22"/>
          <w:szCs w:val="22"/>
        </w:rPr>
        <w:t>Severità</w:t>
      </w:r>
    </w:p>
    <w:p w14:paraId="04FE61D5" w14:textId="77777777" w:rsidR="00671767" w:rsidRPr="001F59CF" w:rsidRDefault="00671767" w:rsidP="00671767">
      <w:pPr>
        <w:spacing w:after="120"/>
        <w:jc w:val="both"/>
        <w:rPr>
          <w:rFonts w:ascii="Arial" w:hAnsi="Arial" w:cs="Arial"/>
          <w:sz w:val="22"/>
          <w:szCs w:val="22"/>
          <w:lang w:eastAsia="en-US"/>
        </w:rPr>
      </w:pPr>
      <w:r w:rsidRPr="001F59CF">
        <w:rPr>
          <w:rFonts w:ascii="Arial" w:hAnsi="Arial" w:cs="Arial"/>
          <w:sz w:val="22"/>
          <w:szCs w:val="22"/>
          <w:lang w:eastAsia="en-US"/>
        </w:rPr>
        <w:t>Indica la gravità del guasto in relazione al disservizio arrecato.</w:t>
      </w:r>
    </w:p>
    <w:tbl>
      <w:tblPr>
        <w:tblW w:w="10057" w:type="dxa"/>
        <w:jc w:val="center"/>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1145"/>
        <w:gridCol w:w="7218"/>
        <w:gridCol w:w="1694"/>
      </w:tblGrid>
      <w:tr w:rsidR="00671767" w:rsidRPr="001F59CF" w14:paraId="2E41DE05" w14:textId="77777777" w:rsidTr="00233CA8">
        <w:trPr>
          <w:jc w:val="center"/>
        </w:trPr>
        <w:tc>
          <w:tcPr>
            <w:tcW w:w="1145" w:type="dxa"/>
            <w:tcBorders>
              <w:top w:val="single" w:sz="4" w:space="0" w:color="000001"/>
              <w:left w:val="single" w:sz="4" w:space="0" w:color="000001"/>
              <w:bottom w:val="single" w:sz="4" w:space="0" w:color="000001"/>
            </w:tcBorders>
            <w:shd w:val="clear" w:color="auto" w:fill="B8CCE4"/>
            <w:vAlign w:val="center"/>
          </w:tcPr>
          <w:p w14:paraId="343C3A91" w14:textId="77777777" w:rsidR="00671767" w:rsidRPr="001F59CF" w:rsidRDefault="00671767" w:rsidP="00233CA8">
            <w:pPr>
              <w:snapToGrid w:val="0"/>
              <w:jc w:val="center"/>
              <w:rPr>
                <w:rFonts w:ascii="Arial" w:hAnsi="Arial" w:cs="Arial"/>
                <w:b/>
                <w:bCs/>
                <w:sz w:val="22"/>
                <w:szCs w:val="22"/>
              </w:rPr>
            </w:pPr>
            <w:r w:rsidRPr="001F59CF">
              <w:rPr>
                <w:rFonts w:ascii="Arial" w:hAnsi="Arial" w:cs="Arial"/>
                <w:b/>
                <w:bCs/>
                <w:sz w:val="22"/>
                <w:szCs w:val="22"/>
              </w:rPr>
              <w:t>Categoria</w:t>
            </w:r>
          </w:p>
        </w:tc>
        <w:tc>
          <w:tcPr>
            <w:tcW w:w="7218" w:type="dxa"/>
            <w:tcBorders>
              <w:top w:val="single" w:sz="4" w:space="0" w:color="000001"/>
              <w:left w:val="single" w:sz="4" w:space="0" w:color="000001"/>
              <w:bottom w:val="single" w:sz="4" w:space="0" w:color="000001"/>
            </w:tcBorders>
            <w:shd w:val="clear" w:color="auto" w:fill="B8CCE4"/>
            <w:vAlign w:val="center"/>
          </w:tcPr>
          <w:p w14:paraId="059F8CD1" w14:textId="77777777" w:rsidR="00671767" w:rsidRPr="001F59CF" w:rsidRDefault="00671767" w:rsidP="00233CA8">
            <w:pPr>
              <w:snapToGrid w:val="0"/>
              <w:jc w:val="center"/>
              <w:rPr>
                <w:rFonts w:ascii="Arial" w:hAnsi="Arial" w:cs="Arial"/>
                <w:b/>
                <w:bCs/>
                <w:sz w:val="22"/>
                <w:szCs w:val="22"/>
              </w:rPr>
            </w:pPr>
            <w:r w:rsidRPr="001F59CF">
              <w:rPr>
                <w:rFonts w:ascii="Arial" w:hAnsi="Arial" w:cs="Arial"/>
                <w:b/>
                <w:bCs/>
                <w:sz w:val="22"/>
                <w:szCs w:val="22"/>
              </w:rPr>
              <w:t>Descrizione</w:t>
            </w:r>
          </w:p>
        </w:tc>
        <w:tc>
          <w:tcPr>
            <w:tcW w:w="1694" w:type="dxa"/>
            <w:tcBorders>
              <w:top w:val="single" w:sz="4" w:space="0" w:color="000001"/>
              <w:left w:val="single" w:sz="4" w:space="0" w:color="000001"/>
              <w:bottom w:val="single" w:sz="4" w:space="0" w:color="000001"/>
              <w:right w:val="single" w:sz="4" w:space="0" w:color="000001"/>
            </w:tcBorders>
            <w:shd w:val="clear" w:color="auto" w:fill="B8CCE4"/>
            <w:vAlign w:val="center"/>
          </w:tcPr>
          <w:p w14:paraId="54E9F3FC" w14:textId="77777777" w:rsidR="00671767" w:rsidRPr="001F59CF" w:rsidRDefault="00671767" w:rsidP="00233CA8">
            <w:pPr>
              <w:snapToGrid w:val="0"/>
              <w:jc w:val="center"/>
              <w:rPr>
                <w:rFonts w:ascii="Arial" w:hAnsi="Arial" w:cs="Arial"/>
                <w:b/>
                <w:bCs/>
                <w:sz w:val="22"/>
                <w:szCs w:val="22"/>
              </w:rPr>
            </w:pPr>
            <w:r w:rsidRPr="001F59CF">
              <w:rPr>
                <w:rFonts w:ascii="Arial" w:hAnsi="Arial" w:cs="Arial"/>
                <w:b/>
                <w:bCs/>
                <w:sz w:val="22"/>
                <w:szCs w:val="22"/>
              </w:rPr>
              <w:t>Bloccante/Non Bloccante</w:t>
            </w:r>
          </w:p>
        </w:tc>
      </w:tr>
      <w:tr w:rsidR="00671767" w:rsidRPr="001F59CF" w14:paraId="1CD5D847" w14:textId="77777777" w:rsidTr="00233CA8">
        <w:trPr>
          <w:jc w:val="center"/>
        </w:trPr>
        <w:tc>
          <w:tcPr>
            <w:tcW w:w="1145" w:type="dxa"/>
            <w:tcBorders>
              <w:top w:val="single" w:sz="4" w:space="0" w:color="000001"/>
              <w:left w:val="single" w:sz="4" w:space="0" w:color="000001"/>
              <w:bottom w:val="single" w:sz="4" w:space="0" w:color="000001"/>
            </w:tcBorders>
            <w:shd w:val="clear" w:color="auto" w:fill="FFFFFF"/>
            <w:vAlign w:val="center"/>
          </w:tcPr>
          <w:p w14:paraId="2FEF26A1"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Severità 1</w:t>
            </w:r>
          </w:p>
        </w:tc>
        <w:tc>
          <w:tcPr>
            <w:tcW w:w="7218" w:type="dxa"/>
            <w:tcBorders>
              <w:top w:val="single" w:sz="4" w:space="0" w:color="000001"/>
              <w:left w:val="single" w:sz="4" w:space="0" w:color="000001"/>
              <w:bottom w:val="single" w:sz="4" w:space="0" w:color="000001"/>
            </w:tcBorders>
            <w:shd w:val="clear" w:color="auto" w:fill="FFFFFF"/>
            <w:vAlign w:val="center"/>
          </w:tcPr>
          <w:p w14:paraId="04A9CCE7" w14:textId="77777777" w:rsidR="00671767" w:rsidRPr="001F59CF" w:rsidRDefault="00671767" w:rsidP="00233CA8">
            <w:pPr>
              <w:snapToGrid w:val="0"/>
              <w:jc w:val="both"/>
              <w:rPr>
                <w:rFonts w:ascii="Arial" w:hAnsi="Arial" w:cs="Arial"/>
                <w:sz w:val="22"/>
                <w:szCs w:val="22"/>
              </w:rPr>
            </w:pPr>
            <w:r w:rsidRPr="001F59CF">
              <w:rPr>
                <w:rFonts w:ascii="Arial" w:hAnsi="Arial" w:cs="Arial"/>
                <w:b/>
                <w:sz w:val="22"/>
                <w:szCs w:val="22"/>
              </w:rPr>
              <w:t>Critica</w:t>
            </w:r>
            <w:r w:rsidRPr="001F59CF">
              <w:rPr>
                <w:rFonts w:ascii="Arial" w:hAnsi="Arial" w:cs="Arial"/>
                <w:sz w:val="22"/>
                <w:szCs w:val="22"/>
              </w:rPr>
              <w:t xml:space="preserve"> - Guasto o anomalia bloccante tale da impedire l’utilizzo dell’infrastruttura e l’erogazione di uno o più servizi causa indisponibilità </w:t>
            </w:r>
            <w:r w:rsidRPr="001F59CF">
              <w:rPr>
                <w:rFonts w:ascii="Arial" w:hAnsi="Arial" w:cs="Arial"/>
                <w:sz w:val="22"/>
                <w:szCs w:val="22"/>
              </w:rPr>
              <w:lastRenderedPageBreak/>
              <w:t>dei dati. Sono da classificare in Severità 1 anche i seguenti malfunzionamenti:</w:t>
            </w:r>
          </w:p>
          <w:p w14:paraId="0126684E" w14:textId="77777777" w:rsidR="00671767" w:rsidRPr="001F59CF" w:rsidRDefault="00671767" w:rsidP="00671767">
            <w:pPr>
              <w:numPr>
                <w:ilvl w:val="1"/>
                <w:numId w:val="15"/>
              </w:numPr>
              <w:suppressAutoHyphens/>
              <w:jc w:val="both"/>
              <w:rPr>
                <w:rFonts w:ascii="Arial" w:hAnsi="Arial" w:cs="Arial"/>
                <w:sz w:val="22"/>
                <w:szCs w:val="22"/>
              </w:rPr>
            </w:pPr>
            <w:r w:rsidRPr="001F59CF">
              <w:rPr>
                <w:rFonts w:ascii="Arial" w:hAnsi="Arial" w:cs="Arial"/>
                <w:sz w:val="22"/>
                <w:szCs w:val="22"/>
              </w:rPr>
              <w:t>degrado continuo delle prestazioni tali da compromettere l’erogazione dei servizi;</w:t>
            </w:r>
          </w:p>
          <w:p w14:paraId="397C1628" w14:textId="77777777" w:rsidR="00671767" w:rsidRPr="001F59CF" w:rsidRDefault="00671767" w:rsidP="00671767">
            <w:pPr>
              <w:numPr>
                <w:ilvl w:val="1"/>
                <w:numId w:val="15"/>
              </w:numPr>
              <w:suppressAutoHyphens/>
              <w:jc w:val="both"/>
              <w:rPr>
                <w:rFonts w:ascii="Arial" w:hAnsi="Arial" w:cs="Arial"/>
                <w:sz w:val="22"/>
                <w:szCs w:val="22"/>
              </w:rPr>
            </w:pPr>
            <w:r w:rsidRPr="001F59CF">
              <w:rPr>
                <w:rFonts w:ascii="Arial" w:hAnsi="Arial" w:cs="Arial"/>
                <w:sz w:val="22"/>
                <w:szCs w:val="22"/>
              </w:rPr>
              <w:t>Successione di eventi di Severità 2 in un arco temporale ristretto;</w:t>
            </w:r>
          </w:p>
          <w:p w14:paraId="686AE19C" w14:textId="77777777" w:rsidR="00671767" w:rsidRPr="001F59CF" w:rsidRDefault="00671767" w:rsidP="00671767">
            <w:pPr>
              <w:numPr>
                <w:ilvl w:val="1"/>
                <w:numId w:val="15"/>
              </w:numPr>
              <w:suppressAutoHyphens/>
              <w:spacing w:after="120"/>
              <w:ind w:left="703" w:hanging="703"/>
              <w:jc w:val="both"/>
              <w:rPr>
                <w:rFonts w:ascii="Arial" w:hAnsi="Arial" w:cs="Arial"/>
                <w:sz w:val="22"/>
                <w:szCs w:val="22"/>
              </w:rPr>
            </w:pPr>
            <w:r w:rsidRPr="001F59CF">
              <w:rPr>
                <w:rFonts w:ascii="Arial" w:hAnsi="Arial" w:cs="Arial"/>
                <w:sz w:val="22"/>
                <w:szCs w:val="22"/>
              </w:rPr>
              <w:t xml:space="preserve">Guasto che inficia gravemente l’alta affidabilità dell’infrastruttura </w:t>
            </w:r>
          </w:p>
        </w:tc>
        <w:tc>
          <w:tcPr>
            <w:tcW w:w="1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5E043F"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lastRenderedPageBreak/>
              <w:t>Bloccante</w:t>
            </w:r>
          </w:p>
        </w:tc>
      </w:tr>
      <w:tr w:rsidR="00671767" w:rsidRPr="001F59CF" w14:paraId="2310BB61" w14:textId="77777777" w:rsidTr="00233CA8">
        <w:trPr>
          <w:jc w:val="center"/>
        </w:trPr>
        <w:tc>
          <w:tcPr>
            <w:tcW w:w="1145" w:type="dxa"/>
            <w:tcBorders>
              <w:top w:val="single" w:sz="4" w:space="0" w:color="000001"/>
              <w:left w:val="single" w:sz="4" w:space="0" w:color="000001"/>
              <w:bottom w:val="single" w:sz="4" w:space="0" w:color="000001"/>
            </w:tcBorders>
            <w:shd w:val="clear" w:color="auto" w:fill="FFFFFF"/>
            <w:vAlign w:val="center"/>
          </w:tcPr>
          <w:p w14:paraId="52D6EB24"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Severità 2</w:t>
            </w:r>
          </w:p>
        </w:tc>
        <w:tc>
          <w:tcPr>
            <w:tcW w:w="7218" w:type="dxa"/>
            <w:tcBorders>
              <w:top w:val="single" w:sz="4" w:space="0" w:color="000001"/>
              <w:left w:val="single" w:sz="4" w:space="0" w:color="000001"/>
              <w:bottom w:val="single" w:sz="4" w:space="0" w:color="000001"/>
            </w:tcBorders>
            <w:shd w:val="clear" w:color="auto" w:fill="FFFFFF"/>
            <w:vAlign w:val="center"/>
          </w:tcPr>
          <w:p w14:paraId="1A07ABA2" w14:textId="77777777" w:rsidR="00671767" w:rsidRPr="001F59CF" w:rsidRDefault="00671767" w:rsidP="00233CA8">
            <w:pPr>
              <w:snapToGrid w:val="0"/>
              <w:jc w:val="both"/>
              <w:rPr>
                <w:rFonts w:ascii="Arial" w:hAnsi="Arial" w:cs="Arial"/>
                <w:sz w:val="22"/>
                <w:szCs w:val="22"/>
              </w:rPr>
            </w:pPr>
            <w:r w:rsidRPr="001F59CF">
              <w:rPr>
                <w:rFonts w:ascii="Arial" w:hAnsi="Arial" w:cs="Arial"/>
                <w:b/>
                <w:sz w:val="22"/>
                <w:szCs w:val="22"/>
              </w:rPr>
              <w:t>Grave</w:t>
            </w:r>
            <w:r w:rsidRPr="001F59CF">
              <w:rPr>
                <w:rFonts w:ascii="Arial" w:hAnsi="Arial" w:cs="Arial"/>
                <w:sz w:val="22"/>
                <w:szCs w:val="22"/>
              </w:rPr>
              <w:t xml:space="preserve"> - Guasto o anomalia che blocca o invalida una o più funzioni dell’infrastruttura, importanti per l’erogazione di uno o più servizi. </w:t>
            </w:r>
          </w:p>
        </w:tc>
        <w:tc>
          <w:tcPr>
            <w:tcW w:w="1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501A61"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Bloccante</w:t>
            </w:r>
          </w:p>
        </w:tc>
      </w:tr>
      <w:tr w:rsidR="00671767" w:rsidRPr="001F59CF" w14:paraId="31CCC076" w14:textId="77777777" w:rsidTr="00233CA8">
        <w:trPr>
          <w:jc w:val="center"/>
        </w:trPr>
        <w:tc>
          <w:tcPr>
            <w:tcW w:w="1145" w:type="dxa"/>
            <w:tcBorders>
              <w:top w:val="single" w:sz="4" w:space="0" w:color="000001"/>
              <w:left w:val="single" w:sz="4" w:space="0" w:color="000001"/>
              <w:bottom w:val="single" w:sz="4" w:space="0" w:color="000001"/>
            </w:tcBorders>
            <w:shd w:val="clear" w:color="auto" w:fill="FFFFFF"/>
            <w:vAlign w:val="center"/>
          </w:tcPr>
          <w:p w14:paraId="53F13E4C"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Severità 3</w:t>
            </w:r>
          </w:p>
        </w:tc>
        <w:tc>
          <w:tcPr>
            <w:tcW w:w="7218" w:type="dxa"/>
            <w:tcBorders>
              <w:top w:val="single" w:sz="4" w:space="0" w:color="000001"/>
              <w:left w:val="single" w:sz="4" w:space="0" w:color="000001"/>
              <w:bottom w:val="single" w:sz="4" w:space="0" w:color="000001"/>
            </w:tcBorders>
            <w:shd w:val="clear" w:color="auto" w:fill="FFFFFF"/>
            <w:vAlign w:val="center"/>
          </w:tcPr>
          <w:p w14:paraId="68EFBD14" w14:textId="77777777" w:rsidR="00671767" w:rsidRPr="001F59CF" w:rsidRDefault="00671767" w:rsidP="00233CA8">
            <w:pPr>
              <w:snapToGrid w:val="0"/>
              <w:jc w:val="both"/>
              <w:rPr>
                <w:rFonts w:ascii="Arial" w:hAnsi="Arial" w:cs="Arial"/>
                <w:sz w:val="22"/>
                <w:szCs w:val="22"/>
              </w:rPr>
            </w:pPr>
            <w:r w:rsidRPr="001F59CF">
              <w:rPr>
                <w:rFonts w:ascii="Arial" w:hAnsi="Arial" w:cs="Arial"/>
                <w:b/>
                <w:sz w:val="22"/>
                <w:szCs w:val="22"/>
              </w:rPr>
              <w:t>Media/Bassa</w:t>
            </w:r>
            <w:r w:rsidRPr="001F59CF">
              <w:rPr>
                <w:rFonts w:ascii="Arial" w:hAnsi="Arial" w:cs="Arial"/>
                <w:sz w:val="22"/>
                <w:szCs w:val="22"/>
              </w:rPr>
              <w:t xml:space="preserve"> - Guasto o anomalia che blocca o invalida una o più funzioni dell’apparato, che non sono vitali per l’erogazione dei servizi, e per le quali esistono una o più procedure alternative per superare l’inconveniente.</w:t>
            </w:r>
          </w:p>
        </w:tc>
        <w:tc>
          <w:tcPr>
            <w:tcW w:w="1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358F71"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Non Bloccante</w:t>
            </w:r>
          </w:p>
        </w:tc>
      </w:tr>
      <w:tr w:rsidR="00671767" w:rsidRPr="001F59CF" w14:paraId="0AE5C15A" w14:textId="77777777" w:rsidTr="00233CA8">
        <w:trPr>
          <w:jc w:val="center"/>
        </w:trPr>
        <w:tc>
          <w:tcPr>
            <w:tcW w:w="1145" w:type="dxa"/>
            <w:tcBorders>
              <w:top w:val="single" w:sz="4" w:space="0" w:color="000001"/>
              <w:left w:val="single" w:sz="4" w:space="0" w:color="000001"/>
              <w:bottom w:val="single" w:sz="4" w:space="0" w:color="000001"/>
            </w:tcBorders>
            <w:shd w:val="clear" w:color="auto" w:fill="FFFFFF"/>
            <w:vAlign w:val="center"/>
          </w:tcPr>
          <w:p w14:paraId="1700439D"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Severità 4</w:t>
            </w:r>
          </w:p>
        </w:tc>
        <w:tc>
          <w:tcPr>
            <w:tcW w:w="7218" w:type="dxa"/>
            <w:tcBorders>
              <w:top w:val="single" w:sz="4" w:space="0" w:color="000001"/>
              <w:left w:val="single" w:sz="4" w:space="0" w:color="000001"/>
              <w:bottom w:val="single" w:sz="4" w:space="0" w:color="000001"/>
            </w:tcBorders>
            <w:shd w:val="clear" w:color="auto" w:fill="FFFFFF"/>
            <w:vAlign w:val="center"/>
          </w:tcPr>
          <w:p w14:paraId="002EA239" w14:textId="77777777" w:rsidR="00671767" w:rsidRPr="001F59CF" w:rsidRDefault="00671767" w:rsidP="00233CA8">
            <w:pPr>
              <w:snapToGrid w:val="0"/>
              <w:jc w:val="both"/>
              <w:rPr>
                <w:rFonts w:ascii="Arial" w:hAnsi="Arial" w:cs="Arial"/>
                <w:sz w:val="22"/>
                <w:szCs w:val="22"/>
              </w:rPr>
            </w:pPr>
            <w:r w:rsidRPr="001F59CF">
              <w:rPr>
                <w:rFonts w:ascii="Arial" w:hAnsi="Arial" w:cs="Arial"/>
                <w:b/>
                <w:sz w:val="22"/>
                <w:szCs w:val="22"/>
              </w:rPr>
              <w:t>Richieste</w:t>
            </w:r>
            <w:r w:rsidRPr="001F59CF">
              <w:rPr>
                <w:rFonts w:ascii="Arial" w:hAnsi="Arial" w:cs="Arial"/>
                <w:sz w:val="22"/>
                <w:szCs w:val="22"/>
              </w:rPr>
              <w:t xml:space="preserve"> – impatto minimo sul sistema; include le richieste di funzionalità e altre richieste non critiche</w:t>
            </w:r>
          </w:p>
        </w:tc>
        <w:tc>
          <w:tcPr>
            <w:tcW w:w="1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12236D"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Non Bloccante</w:t>
            </w:r>
          </w:p>
        </w:tc>
      </w:tr>
    </w:tbl>
    <w:p w14:paraId="2B3756BF" w14:textId="77777777" w:rsidR="00671767" w:rsidRPr="001F59CF" w:rsidRDefault="00671767" w:rsidP="00671767">
      <w:pPr>
        <w:spacing w:after="120"/>
        <w:ind w:left="851"/>
        <w:jc w:val="both"/>
        <w:rPr>
          <w:rFonts w:ascii="Arial" w:hAnsi="Arial" w:cs="Arial"/>
          <w:color w:val="000000"/>
          <w:sz w:val="22"/>
          <w:szCs w:val="22"/>
        </w:rPr>
      </w:pPr>
    </w:p>
    <w:p w14:paraId="05079A24" w14:textId="77777777" w:rsidR="00671767" w:rsidRPr="001F59CF" w:rsidRDefault="00671767" w:rsidP="00671767">
      <w:pPr>
        <w:pStyle w:val="Paragrafoelenco"/>
        <w:numPr>
          <w:ilvl w:val="0"/>
          <w:numId w:val="16"/>
        </w:numPr>
        <w:suppressAutoHyphens/>
        <w:spacing w:after="120"/>
        <w:jc w:val="both"/>
        <w:rPr>
          <w:rFonts w:ascii="Arial" w:hAnsi="Arial" w:cs="Arial"/>
          <w:b/>
          <w:color w:val="000000"/>
          <w:sz w:val="22"/>
          <w:szCs w:val="22"/>
        </w:rPr>
      </w:pPr>
      <w:r w:rsidRPr="001F59CF">
        <w:rPr>
          <w:rFonts w:ascii="Arial" w:hAnsi="Arial" w:cs="Arial"/>
          <w:b/>
          <w:color w:val="000000"/>
          <w:sz w:val="22"/>
          <w:szCs w:val="22"/>
        </w:rPr>
        <w:t>Tempo di Presa in carico (“Tempo di risposta”)</w:t>
      </w:r>
    </w:p>
    <w:p w14:paraId="0FB0F7FA" w14:textId="77777777" w:rsidR="00671767" w:rsidRPr="001F59CF" w:rsidRDefault="00671767" w:rsidP="00671767">
      <w:pPr>
        <w:spacing w:after="120"/>
        <w:jc w:val="both"/>
        <w:rPr>
          <w:rFonts w:ascii="Arial" w:hAnsi="Arial" w:cs="Arial"/>
          <w:sz w:val="22"/>
          <w:szCs w:val="22"/>
        </w:rPr>
      </w:pPr>
      <w:r w:rsidRPr="001F59CF">
        <w:rPr>
          <w:rFonts w:ascii="Arial" w:hAnsi="Arial" w:cs="Arial"/>
          <w:color w:val="000000"/>
          <w:sz w:val="22"/>
          <w:szCs w:val="22"/>
        </w:rPr>
        <w:t xml:space="preserve">Si intende il </w:t>
      </w:r>
      <w:r w:rsidRPr="001F59CF">
        <w:rPr>
          <w:rFonts w:ascii="Arial" w:hAnsi="Arial" w:cs="Arial"/>
          <w:b/>
          <w:color w:val="000000"/>
          <w:sz w:val="22"/>
          <w:szCs w:val="22"/>
        </w:rPr>
        <w:t>tempo intercorso tra la</w:t>
      </w:r>
      <w:r w:rsidRPr="001F59CF">
        <w:rPr>
          <w:rFonts w:ascii="Arial" w:hAnsi="Arial" w:cs="Arial"/>
          <w:color w:val="000000"/>
          <w:sz w:val="22"/>
          <w:szCs w:val="22"/>
        </w:rPr>
        <w:t xml:space="preserve"> </w:t>
      </w:r>
      <w:r w:rsidRPr="001F59CF">
        <w:rPr>
          <w:rFonts w:ascii="Arial" w:hAnsi="Arial" w:cs="Arial"/>
          <w:b/>
          <w:color w:val="000000"/>
          <w:sz w:val="22"/>
          <w:szCs w:val="22"/>
        </w:rPr>
        <w:t>segnalazione del guasto o dell’anomalia</w:t>
      </w:r>
      <w:r w:rsidRPr="001F59CF">
        <w:rPr>
          <w:rFonts w:ascii="Arial" w:hAnsi="Arial" w:cs="Arial"/>
          <w:color w:val="000000"/>
          <w:sz w:val="22"/>
          <w:szCs w:val="22"/>
        </w:rPr>
        <w:t xml:space="preserve"> (apertura chiamata da parte del CSI Piemonte) </w:t>
      </w:r>
      <w:r w:rsidRPr="001F59CF">
        <w:rPr>
          <w:rFonts w:ascii="Arial" w:hAnsi="Arial" w:cs="Arial"/>
          <w:b/>
          <w:color w:val="000000"/>
          <w:sz w:val="22"/>
          <w:szCs w:val="22"/>
        </w:rPr>
        <w:t>e il rilascio del ticket da parte dell’Appaltatore</w:t>
      </w:r>
      <w:r w:rsidRPr="001F59CF">
        <w:rPr>
          <w:rFonts w:ascii="Arial" w:hAnsi="Arial" w:cs="Arial"/>
          <w:color w:val="000000"/>
          <w:sz w:val="22"/>
          <w:szCs w:val="22"/>
        </w:rPr>
        <w:t xml:space="preserve"> come riprova dell’effettiva presa in carico.</w:t>
      </w:r>
    </w:p>
    <w:p w14:paraId="2E5C177C" w14:textId="77777777" w:rsidR="00671767" w:rsidRPr="001F59CF" w:rsidRDefault="00671767" w:rsidP="00671767">
      <w:pPr>
        <w:pStyle w:val="Paragrafoelenco"/>
        <w:numPr>
          <w:ilvl w:val="0"/>
          <w:numId w:val="16"/>
        </w:numPr>
        <w:suppressAutoHyphens/>
        <w:spacing w:after="120"/>
        <w:jc w:val="both"/>
        <w:rPr>
          <w:rFonts w:ascii="Arial" w:hAnsi="Arial" w:cs="Arial"/>
          <w:b/>
          <w:color w:val="000000"/>
          <w:sz w:val="22"/>
          <w:szCs w:val="22"/>
        </w:rPr>
      </w:pPr>
      <w:r w:rsidRPr="001F59CF">
        <w:rPr>
          <w:rFonts w:ascii="Arial" w:hAnsi="Arial" w:cs="Arial"/>
          <w:b/>
          <w:color w:val="000000"/>
          <w:sz w:val="22"/>
          <w:szCs w:val="22"/>
        </w:rPr>
        <w:t>Tempo di Intervento</w:t>
      </w:r>
    </w:p>
    <w:p w14:paraId="1DFDAE17" w14:textId="77777777" w:rsidR="00671767" w:rsidRPr="001F59CF" w:rsidRDefault="00671767" w:rsidP="00671767">
      <w:pPr>
        <w:spacing w:after="120"/>
        <w:jc w:val="both"/>
        <w:rPr>
          <w:rFonts w:ascii="Arial" w:hAnsi="Arial" w:cs="Arial"/>
          <w:sz w:val="22"/>
          <w:szCs w:val="22"/>
        </w:rPr>
      </w:pPr>
      <w:r w:rsidRPr="001F59CF">
        <w:rPr>
          <w:rFonts w:ascii="Arial" w:hAnsi="Arial" w:cs="Arial"/>
          <w:color w:val="000000"/>
          <w:sz w:val="22"/>
          <w:szCs w:val="22"/>
        </w:rPr>
        <w:t xml:space="preserve">Si intende il </w:t>
      </w:r>
      <w:r w:rsidRPr="001F59CF">
        <w:rPr>
          <w:rFonts w:ascii="Arial" w:hAnsi="Arial" w:cs="Arial"/>
          <w:b/>
          <w:color w:val="000000"/>
          <w:sz w:val="22"/>
          <w:szCs w:val="22"/>
        </w:rPr>
        <w:t>tempo intercorso tra la segnalazione del guasto o dell’anomalia e l’intervento on-site o in teleassistenza</w:t>
      </w:r>
      <w:r w:rsidRPr="001F59CF">
        <w:rPr>
          <w:rFonts w:ascii="Arial" w:hAnsi="Arial" w:cs="Arial"/>
          <w:color w:val="000000"/>
          <w:sz w:val="22"/>
          <w:szCs w:val="22"/>
        </w:rPr>
        <w:t xml:space="preserve"> laddove possibile.</w:t>
      </w:r>
    </w:p>
    <w:p w14:paraId="7F7631AA" w14:textId="77777777" w:rsidR="00671767" w:rsidRPr="001F59CF" w:rsidRDefault="00671767" w:rsidP="00671767">
      <w:pPr>
        <w:pStyle w:val="Paragrafoelenco"/>
        <w:numPr>
          <w:ilvl w:val="0"/>
          <w:numId w:val="16"/>
        </w:numPr>
        <w:suppressAutoHyphens/>
        <w:spacing w:after="120"/>
        <w:jc w:val="both"/>
        <w:rPr>
          <w:rFonts w:ascii="Arial" w:hAnsi="Arial" w:cs="Arial"/>
          <w:b/>
          <w:color w:val="000000"/>
          <w:sz w:val="22"/>
          <w:szCs w:val="22"/>
        </w:rPr>
      </w:pPr>
      <w:r w:rsidRPr="001F59CF">
        <w:rPr>
          <w:rFonts w:ascii="Arial" w:hAnsi="Arial" w:cs="Arial"/>
          <w:b/>
          <w:color w:val="000000"/>
          <w:sz w:val="22"/>
          <w:szCs w:val="22"/>
        </w:rPr>
        <w:t>Tempo di Ripristino (</w:t>
      </w:r>
      <w:proofErr w:type="spellStart"/>
      <w:r w:rsidRPr="001F59CF">
        <w:rPr>
          <w:rFonts w:ascii="Arial" w:hAnsi="Arial" w:cs="Arial"/>
          <w:b/>
          <w:color w:val="000000"/>
          <w:sz w:val="22"/>
          <w:szCs w:val="22"/>
        </w:rPr>
        <w:t>WorkAround</w:t>
      </w:r>
      <w:proofErr w:type="spellEnd"/>
      <w:r w:rsidRPr="001F59CF">
        <w:rPr>
          <w:rFonts w:ascii="Arial" w:hAnsi="Arial" w:cs="Arial"/>
          <w:b/>
          <w:color w:val="000000"/>
          <w:sz w:val="22"/>
          <w:szCs w:val="22"/>
        </w:rPr>
        <w:t>)</w:t>
      </w:r>
    </w:p>
    <w:p w14:paraId="745C49CE" w14:textId="77777777" w:rsidR="00671767" w:rsidRPr="001F59CF" w:rsidRDefault="00671767" w:rsidP="00671767">
      <w:pPr>
        <w:spacing w:after="120"/>
        <w:jc w:val="both"/>
        <w:rPr>
          <w:rFonts w:ascii="Arial" w:hAnsi="Arial" w:cs="Arial"/>
          <w:sz w:val="22"/>
          <w:szCs w:val="22"/>
        </w:rPr>
      </w:pPr>
      <w:r w:rsidRPr="001F59CF">
        <w:rPr>
          <w:rFonts w:ascii="Arial" w:hAnsi="Arial" w:cs="Arial"/>
          <w:color w:val="000000"/>
          <w:sz w:val="22"/>
          <w:szCs w:val="22"/>
        </w:rPr>
        <w:t xml:space="preserve">Si intende il </w:t>
      </w:r>
      <w:r w:rsidRPr="001F59CF">
        <w:rPr>
          <w:rFonts w:ascii="Arial" w:hAnsi="Arial" w:cs="Arial"/>
          <w:b/>
          <w:color w:val="000000"/>
          <w:sz w:val="22"/>
          <w:szCs w:val="22"/>
        </w:rPr>
        <w:t>tempo intercorso</w:t>
      </w:r>
      <w:r w:rsidRPr="001F59CF">
        <w:rPr>
          <w:rFonts w:ascii="Arial" w:hAnsi="Arial" w:cs="Arial"/>
          <w:color w:val="000000"/>
          <w:sz w:val="22"/>
          <w:szCs w:val="22"/>
        </w:rPr>
        <w:t xml:space="preserve"> </w:t>
      </w:r>
      <w:r w:rsidRPr="001F59CF">
        <w:rPr>
          <w:rFonts w:ascii="Arial" w:hAnsi="Arial" w:cs="Arial"/>
          <w:b/>
          <w:color w:val="000000"/>
          <w:sz w:val="22"/>
          <w:szCs w:val="22"/>
        </w:rPr>
        <w:t>tra la</w:t>
      </w:r>
      <w:r w:rsidRPr="001F59CF">
        <w:rPr>
          <w:rFonts w:ascii="Arial" w:hAnsi="Arial" w:cs="Arial"/>
          <w:color w:val="000000"/>
          <w:sz w:val="22"/>
          <w:szCs w:val="22"/>
        </w:rPr>
        <w:t xml:space="preserve"> </w:t>
      </w:r>
      <w:r w:rsidRPr="001F59CF">
        <w:rPr>
          <w:rFonts w:ascii="Arial" w:hAnsi="Arial" w:cs="Arial"/>
          <w:b/>
          <w:color w:val="000000"/>
          <w:sz w:val="22"/>
          <w:szCs w:val="22"/>
        </w:rPr>
        <w:t>segnalazione del guasto o dell’anomalia</w:t>
      </w:r>
      <w:r w:rsidRPr="001F59CF">
        <w:rPr>
          <w:rFonts w:ascii="Arial" w:hAnsi="Arial" w:cs="Arial"/>
          <w:color w:val="000000"/>
          <w:sz w:val="22"/>
          <w:szCs w:val="22"/>
        </w:rPr>
        <w:t xml:space="preserve"> ed il ripristino delle funzionalità dei componenti interessati dall’anomalia, mediante una soluzione temporanea e rapida del problema.</w:t>
      </w:r>
    </w:p>
    <w:p w14:paraId="70AC79CF" w14:textId="77777777" w:rsidR="00671767" w:rsidRPr="001F59CF" w:rsidRDefault="00671767" w:rsidP="00671767">
      <w:pPr>
        <w:pStyle w:val="Paragrafoelenco"/>
        <w:numPr>
          <w:ilvl w:val="0"/>
          <w:numId w:val="16"/>
        </w:numPr>
        <w:suppressAutoHyphens/>
        <w:spacing w:after="120"/>
        <w:jc w:val="both"/>
        <w:rPr>
          <w:rFonts w:ascii="Arial" w:hAnsi="Arial" w:cs="Arial"/>
          <w:b/>
          <w:color w:val="000000"/>
          <w:sz w:val="22"/>
          <w:szCs w:val="22"/>
        </w:rPr>
      </w:pPr>
      <w:r w:rsidRPr="001F59CF">
        <w:rPr>
          <w:rFonts w:ascii="Arial" w:hAnsi="Arial" w:cs="Arial"/>
          <w:b/>
          <w:color w:val="000000"/>
          <w:sz w:val="22"/>
          <w:szCs w:val="22"/>
        </w:rPr>
        <w:t>Tempo di Risoluzione</w:t>
      </w:r>
    </w:p>
    <w:p w14:paraId="23C9FFE0" w14:textId="77777777" w:rsidR="00671767" w:rsidRPr="001F59CF" w:rsidRDefault="00671767" w:rsidP="00671767">
      <w:pPr>
        <w:spacing w:after="120"/>
        <w:jc w:val="both"/>
        <w:rPr>
          <w:rFonts w:ascii="Arial" w:hAnsi="Arial" w:cs="Arial"/>
          <w:sz w:val="22"/>
          <w:szCs w:val="22"/>
        </w:rPr>
      </w:pPr>
      <w:r w:rsidRPr="001F59CF">
        <w:rPr>
          <w:rFonts w:ascii="Arial" w:hAnsi="Arial" w:cs="Arial"/>
          <w:color w:val="000000"/>
          <w:sz w:val="22"/>
          <w:szCs w:val="22"/>
        </w:rPr>
        <w:t xml:space="preserve">Si intende </w:t>
      </w:r>
      <w:r w:rsidRPr="001F59CF">
        <w:rPr>
          <w:rFonts w:ascii="Arial" w:hAnsi="Arial" w:cs="Arial"/>
          <w:b/>
          <w:color w:val="000000"/>
          <w:sz w:val="22"/>
          <w:szCs w:val="22"/>
        </w:rPr>
        <w:t>il tempo intercorso</w:t>
      </w:r>
      <w:r w:rsidRPr="001F59CF">
        <w:rPr>
          <w:rFonts w:ascii="Arial" w:hAnsi="Arial" w:cs="Arial"/>
          <w:color w:val="000000"/>
          <w:sz w:val="22"/>
          <w:szCs w:val="22"/>
        </w:rPr>
        <w:t xml:space="preserve"> </w:t>
      </w:r>
      <w:r w:rsidRPr="001F59CF">
        <w:rPr>
          <w:rFonts w:ascii="Arial" w:hAnsi="Arial" w:cs="Arial"/>
          <w:b/>
          <w:color w:val="000000"/>
          <w:sz w:val="22"/>
          <w:szCs w:val="22"/>
        </w:rPr>
        <w:t>tra la</w:t>
      </w:r>
      <w:r w:rsidRPr="001F59CF">
        <w:rPr>
          <w:rFonts w:ascii="Arial" w:hAnsi="Arial" w:cs="Arial"/>
          <w:color w:val="000000"/>
          <w:sz w:val="22"/>
          <w:szCs w:val="22"/>
        </w:rPr>
        <w:t xml:space="preserve"> </w:t>
      </w:r>
      <w:r w:rsidRPr="001F59CF">
        <w:rPr>
          <w:rFonts w:ascii="Arial" w:hAnsi="Arial" w:cs="Arial"/>
          <w:b/>
          <w:color w:val="000000"/>
          <w:sz w:val="22"/>
          <w:szCs w:val="22"/>
        </w:rPr>
        <w:t>segnalazione del guasto o dell’anomalia e la disponibilità, la messa in esercizio ed il ripristino delle funzionalità dei componenti interessati dall’anomalia, con la completa risoluzione dell’anomalia stess</w:t>
      </w:r>
      <w:r w:rsidRPr="001F59CF">
        <w:rPr>
          <w:rFonts w:ascii="Arial" w:hAnsi="Arial" w:cs="Arial"/>
          <w:color w:val="000000"/>
          <w:sz w:val="22"/>
          <w:szCs w:val="22"/>
        </w:rPr>
        <w:t>a. L’intervento si deve concludere con il perfetto funzionamento della soluzione realizzata.</w:t>
      </w:r>
    </w:p>
    <w:p w14:paraId="1769E9A7" w14:textId="77777777" w:rsidR="00671767" w:rsidRPr="001F59CF" w:rsidRDefault="00671767" w:rsidP="00671767">
      <w:pPr>
        <w:pStyle w:val="Paragrafoelenco"/>
        <w:numPr>
          <w:ilvl w:val="0"/>
          <w:numId w:val="16"/>
        </w:numPr>
        <w:suppressAutoHyphens/>
        <w:spacing w:after="120"/>
        <w:jc w:val="both"/>
        <w:rPr>
          <w:rFonts w:ascii="Arial" w:hAnsi="Arial" w:cs="Arial"/>
          <w:b/>
          <w:color w:val="000000"/>
          <w:sz w:val="22"/>
          <w:szCs w:val="22"/>
        </w:rPr>
      </w:pPr>
      <w:r w:rsidRPr="001F59CF">
        <w:rPr>
          <w:rFonts w:ascii="Arial" w:hAnsi="Arial" w:cs="Arial"/>
          <w:b/>
          <w:color w:val="000000"/>
          <w:sz w:val="22"/>
          <w:szCs w:val="22"/>
        </w:rPr>
        <w:t xml:space="preserve">Valore di soglia per il livello minimo di servizio </w:t>
      </w:r>
    </w:p>
    <w:p w14:paraId="553564C3" w14:textId="77777777" w:rsidR="00671767" w:rsidRPr="001F59CF" w:rsidRDefault="00671767" w:rsidP="00671767">
      <w:pPr>
        <w:spacing w:after="120"/>
        <w:jc w:val="both"/>
        <w:rPr>
          <w:rFonts w:ascii="Arial" w:hAnsi="Arial" w:cs="Arial"/>
          <w:sz w:val="22"/>
          <w:szCs w:val="22"/>
        </w:rPr>
      </w:pPr>
      <w:r w:rsidRPr="001F59CF">
        <w:rPr>
          <w:rFonts w:ascii="Arial" w:hAnsi="Arial" w:cs="Arial"/>
          <w:color w:val="000000"/>
          <w:sz w:val="22"/>
          <w:szCs w:val="22"/>
        </w:rPr>
        <w:t xml:space="preserve">Il valore di soglia indica la </w:t>
      </w:r>
      <w:r w:rsidRPr="001F59CF">
        <w:rPr>
          <w:rFonts w:ascii="Arial" w:hAnsi="Arial" w:cs="Arial"/>
          <w:b/>
          <w:color w:val="000000"/>
          <w:sz w:val="22"/>
          <w:szCs w:val="22"/>
        </w:rPr>
        <w:t>percentuale minima di indicatori che dovranno rispettare i livelli di servizio indicati nei paragrafi successivi</w:t>
      </w:r>
      <w:r w:rsidRPr="001F59CF">
        <w:rPr>
          <w:rFonts w:ascii="Arial" w:hAnsi="Arial" w:cs="Arial"/>
          <w:color w:val="000000"/>
          <w:sz w:val="22"/>
          <w:szCs w:val="22"/>
        </w:rPr>
        <w:t xml:space="preserve">. Tale valore minimo è fissato dal CSI-Piemonte al </w:t>
      </w:r>
      <w:r w:rsidRPr="001F59CF">
        <w:rPr>
          <w:rFonts w:ascii="Arial" w:hAnsi="Arial" w:cs="Arial"/>
          <w:b/>
          <w:color w:val="000000"/>
          <w:sz w:val="22"/>
          <w:szCs w:val="22"/>
        </w:rPr>
        <w:t>95%.</w:t>
      </w:r>
    </w:p>
    <w:p w14:paraId="283697BA" w14:textId="77777777" w:rsidR="00671767" w:rsidRPr="001F59CF" w:rsidRDefault="00671767" w:rsidP="00671767">
      <w:pPr>
        <w:pStyle w:val="Titolo2"/>
        <w:numPr>
          <w:ilvl w:val="1"/>
          <w:numId w:val="11"/>
        </w:numPr>
        <w:tabs>
          <w:tab w:val="left" w:pos="0"/>
          <w:tab w:val="left" w:pos="1134"/>
        </w:tabs>
        <w:suppressAutoHyphens/>
        <w:spacing w:after="120"/>
        <w:ind w:left="1134" w:hanging="425"/>
        <w:rPr>
          <w:rFonts w:ascii="Arial" w:hAnsi="Arial" w:cs="Arial"/>
          <w:sz w:val="22"/>
          <w:szCs w:val="22"/>
        </w:rPr>
      </w:pPr>
      <w:bookmarkStart w:id="62" w:name="_Toc60934128"/>
      <w:bookmarkStart w:id="63" w:name="_Toc85699046"/>
      <w:bookmarkEnd w:id="62"/>
      <w:r w:rsidRPr="001F59CF">
        <w:rPr>
          <w:rFonts w:ascii="Arial" w:hAnsi="Arial" w:cs="Arial"/>
          <w:sz w:val="22"/>
          <w:szCs w:val="22"/>
        </w:rPr>
        <w:t>Livelli di servizio per la risoluzione anomalie software</w:t>
      </w:r>
      <w:bookmarkEnd w:id="63"/>
    </w:p>
    <w:p w14:paraId="51677E88" w14:textId="77777777" w:rsidR="00671767" w:rsidRPr="001F59CF" w:rsidRDefault="00671767" w:rsidP="00671767">
      <w:pPr>
        <w:spacing w:after="120"/>
        <w:jc w:val="both"/>
        <w:rPr>
          <w:rFonts w:ascii="Arial" w:hAnsi="Arial" w:cs="Arial"/>
          <w:sz w:val="22"/>
          <w:szCs w:val="22"/>
          <w:lang w:eastAsia="en-US"/>
        </w:rPr>
      </w:pPr>
      <w:r w:rsidRPr="001F59CF">
        <w:rPr>
          <w:rFonts w:ascii="Arial" w:hAnsi="Arial" w:cs="Arial"/>
          <w:sz w:val="22"/>
          <w:szCs w:val="22"/>
          <w:lang w:eastAsia="en-US"/>
        </w:rPr>
        <w:t>I tempi massimi di ripristino e risoluzione anomalie software sono indicati nella seguente tabella, e hanno decorrenza dalla segnalazione del guasto o dell’anomalia.</w:t>
      </w:r>
    </w:p>
    <w:tbl>
      <w:tblPr>
        <w:tblW w:w="8505" w:type="dxa"/>
        <w:jc w:val="center"/>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75"/>
        <w:gridCol w:w="2491"/>
        <w:gridCol w:w="2471"/>
        <w:gridCol w:w="2268"/>
      </w:tblGrid>
      <w:tr w:rsidR="00671767" w:rsidRPr="001F59CF" w14:paraId="4CC50FAC" w14:textId="77777777" w:rsidTr="00233CA8">
        <w:trPr>
          <w:trHeight w:val="340"/>
          <w:jc w:val="center"/>
        </w:trPr>
        <w:tc>
          <w:tcPr>
            <w:tcW w:w="3765" w:type="dxa"/>
            <w:gridSpan w:val="2"/>
            <w:tcBorders>
              <w:bottom w:val="single" w:sz="4" w:space="0" w:color="00000A"/>
              <w:right w:val="single" w:sz="4" w:space="0" w:color="00000A"/>
            </w:tcBorders>
            <w:shd w:val="clear" w:color="auto" w:fill="FFFFFF"/>
            <w:vAlign w:val="center"/>
          </w:tcPr>
          <w:p w14:paraId="0A6DF795" w14:textId="77777777" w:rsidR="00671767" w:rsidRPr="001F59CF" w:rsidRDefault="00671767" w:rsidP="00233CA8">
            <w:pPr>
              <w:snapToGrid w:val="0"/>
              <w:jc w:val="both"/>
              <w:rPr>
                <w:rFonts w:ascii="Arial" w:hAnsi="Arial" w:cs="Arial"/>
                <w:sz w:val="22"/>
                <w:szCs w:val="22"/>
              </w:rPr>
            </w:pPr>
          </w:p>
        </w:tc>
        <w:tc>
          <w:tcPr>
            <w:tcW w:w="2471" w:type="dxa"/>
            <w:tcBorders>
              <w:top w:val="single" w:sz="4" w:space="0" w:color="00000A"/>
              <w:left w:val="single" w:sz="4" w:space="0" w:color="00000A"/>
              <w:bottom w:val="single" w:sz="4" w:space="0" w:color="00000A"/>
              <w:right w:val="single" w:sz="4" w:space="0" w:color="00000A"/>
            </w:tcBorders>
            <w:shd w:val="clear" w:color="auto" w:fill="B8CCE4"/>
            <w:tcMar>
              <w:left w:w="35" w:type="dxa"/>
            </w:tcMar>
            <w:vAlign w:val="center"/>
          </w:tcPr>
          <w:p w14:paraId="37BFD03E" w14:textId="77777777" w:rsidR="00671767" w:rsidRPr="001F59CF" w:rsidRDefault="00671767" w:rsidP="00233CA8">
            <w:pPr>
              <w:snapToGrid w:val="0"/>
              <w:jc w:val="center"/>
              <w:rPr>
                <w:rFonts w:ascii="Arial" w:hAnsi="Arial" w:cs="Arial"/>
                <w:b/>
                <w:bCs/>
                <w:sz w:val="22"/>
                <w:szCs w:val="22"/>
              </w:rPr>
            </w:pPr>
            <w:r w:rsidRPr="001F59CF">
              <w:rPr>
                <w:rFonts w:ascii="Arial" w:hAnsi="Arial" w:cs="Arial"/>
                <w:b/>
                <w:bCs/>
                <w:sz w:val="22"/>
                <w:szCs w:val="22"/>
              </w:rPr>
              <w:t xml:space="preserve">Tempo massimo </w:t>
            </w:r>
          </w:p>
        </w:tc>
        <w:tc>
          <w:tcPr>
            <w:tcW w:w="2268" w:type="dxa"/>
            <w:tcBorders>
              <w:top w:val="single" w:sz="4" w:space="0" w:color="00000A"/>
              <w:left w:val="single" w:sz="4" w:space="0" w:color="00000A"/>
              <w:bottom w:val="single" w:sz="4" w:space="0" w:color="00000A"/>
              <w:right w:val="single" w:sz="4" w:space="0" w:color="00000A"/>
            </w:tcBorders>
            <w:shd w:val="clear" w:color="auto" w:fill="B8CCE4"/>
            <w:tcMar>
              <w:left w:w="35" w:type="dxa"/>
            </w:tcMar>
            <w:vAlign w:val="center"/>
          </w:tcPr>
          <w:p w14:paraId="54A4AE71" w14:textId="77777777" w:rsidR="00671767" w:rsidRPr="001F59CF" w:rsidRDefault="00671767" w:rsidP="00233CA8">
            <w:pPr>
              <w:snapToGrid w:val="0"/>
              <w:jc w:val="center"/>
              <w:rPr>
                <w:rFonts w:ascii="Arial" w:hAnsi="Arial" w:cs="Arial"/>
                <w:b/>
                <w:bCs/>
                <w:sz w:val="22"/>
                <w:szCs w:val="22"/>
              </w:rPr>
            </w:pPr>
            <w:r w:rsidRPr="001F59CF">
              <w:rPr>
                <w:rFonts w:ascii="Arial" w:hAnsi="Arial" w:cs="Arial"/>
                <w:b/>
                <w:bCs/>
                <w:sz w:val="22"/>
                <w:szCs w:val="22"/>
              </w:rPr>
              <w:t xml:space="preserve">Copertura oraria </w:t>
            </w:r>
          </w:p>
        </w:tc>
      </w:tr>
      <w:tr w:rsidR="00671767" w:rsidRPr="001F59CF" w14:paraId="175DE921" w14:textId="77777777" w:rsidTr="00233CA8">
        <w:trPr>
          <w:trHeight w:val="340"/>
          <w:jc w:val="center"/>
        </w:trPr>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3EF72588" w14:textId="77777777" w:rsidR="00671767" w:rsidRPr="001F59CF" w:rsidRDefault="00671767" w:rsidP="00233CA8">
            <w:pPr>
              <w:snapToGrid w:val="0"/>
              <w:jc w:val="both"/>
              <w:rPr>
                <w:rFonts w:ascii="Arial" w:hAnsi="Arial" w:cs="Arial"/>
                <w:sz w:val="22"/>
                <w:szCs w:val="22"/>
              </w:rPr>
            </w:pPr>
          </w:p>
        </w:tc>
        <w:tc>
          <w:tcPr>
            <w:tcW w:w="2491" w:type="dxa"/>
            <w:tcBorders>
              <w:top w:val="single" w:sz="4" w:space="0" w:color="00000A"/>
              <w:left w:val="single" w:sz="4" w:space="0" w:color="000001"/>
              <w:bottom w:val="single" w:sz="4" w:space="0" w:color="000001"/>
              <w:right w:val="single" w:sz="4" w:space="0" w:color="00000A"/>
            </w:tcBorders>
            <w:shd w:val="clear" w:color="auto" w:fill="FFFFFF"/>
            <w:tcMar>
              <w:left w:w="35" w:type="dxa"/>
            </w:tcMar>
            <w:vAlign w:val="center"/>
          </w:tcPr>
          <w:p w14:paraId="2A67A966"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Presa in carico</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5DA8379"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30 minuti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0AF2957F"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H24, 7x7</w:t>
            </w:r>
          </w:p>
        </w:tc>
      </w:tr>
      <w:tr w:rsidR="00671767" w:rsidRPr="001F59CF" w14:paraId="3B5D3D1D" w14:textId="77777777" w:rsidTr="00233CA8">
        <w:trPr>
          <w:trHeight w:val="340"/>
          <w:jc w:val="center"/>
        </w:trPr>
        <w:tc>
          <w:tcPr>
            <w:tcW w:w="12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08C54F1D"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Severità 1</w:t>
            </w:r>
          </w:p>
          <w:p w14:paraId="1478C0E3" w14:textId="77777777" w:rsidR="00671767" w:rsidRPr="001F59CF" w:rsidRDefault="00671767" w:rsidP="00233CA8">
            <w:pPr>
              <w:snapToGrid w:val="0"/>
              <w:jc w:val="both"/>
              <w:rPr>
                <w:rFonts w:ascii="Arial" w:hAnsi="Arial" w:cs="Arial"/>
                <w:sz w:val="22"/>
                <w:szCs w:val="22"/>
              </w:rPr>
            </w:pPr>
          </w:p>
        </w:tc>
        <w:tc>
          <w:tcPr>
            <w:tcW w:w="2491" w:type="dxa"/>
            <w:tcBorders>
              <w:top w:val="single" w:sz="4" w:space="0" w:color="00000A"/>
              <w:left w:val="single" w:sz="4" w:space="0" w:color="000001"/>
              <w:bottom w:val="single" w:sz="4" w:space="0" w:color="000001"/>
              <w:right w:val="single" w:sz="4" w:space="0" w:color="00000A"/>
            </w:tcBorders>
            <w:shd w:val="clear" w:color="auto" w:fill="FFFFFF"/>
            <w:tcMar>
              <w:left w:w="35" w:type="dxa"/>
            </w:tcMar>
            <w:vAlign w:val="center"/>
          </w:tcPr>
          <w:p w14:paraId="778C8487"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Intervento</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4C5147E" w14:textId="77777777" w:rsidR="00671767" w:rsidRPr="001F59CF" w:rsidRDefault="00671767" w:rsidP="00233CA8">
            <w:pPr>
              <w:snapToGrid w:val="0"/>
              <w:jc w:val="center"/>
              <w:rPr>
                <w:rFonts w:ascii="Arial" w:hAnsi="Arial" w:cs="Arial"/>
                <w:sz w:val="22"/>
                <w:szCs w:val="22"/>
              </w:rPr>
            </w:pPr>
            <w:proofErr w:type="gramStart"/>
            <w:r w:rsidRPr="001F59CF">
              <w:rPr>
                <w:rFonts w:ascii="Arial" w:hAnsi="Arial" w:cs="Arial"/>
                <w:sz w:val="22"/>
                <w:szCs w:val="22"/>
              </w:rPr>
              <w:t>4</w:t>
            </w:r>
            <w:proofErr w:type="gramEnd"/>
            <w:r w:rsidRPr="001F59CF">
              <w:rPr>
                <w:rFonts w:ascii="Arial" w:hAnsi="Arial" w:cs="Arial"/>
                <w:sz w:val="22"/>
                <w:szCs w:val="22"/>
              </w:rPr>
              <w:t xml:space="preserve"> ore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77B023E0"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H24, 7x7</w:t>
            </w:r>
          </w:p>
        </w:tc>
      </w:tr>
      <w:tr w:rsidR="00671767" w:rsidRPr="001F59CF" w14:paraId="08330060" w14:textId="77777777" w:rsidTr="00233CA8">
        <w:trPr>
          <w:trHeight w:val="340"/>
          <w:jc w:val="center"/>
        </w:trPr>
        <w:tc>
          <w:tcPr>
            <w:tcW w:w="1274" w:type="dxa"/>
            <w:vMerge/>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02FE5B61" w14:textId="77777777" w:rsidR="00671767" w:rsidRPr="001F59CF" w:rsidRDefault="00671767" w:rsidP="00233CA8">
            <w:pPr>
              <w:rPr>
                <w:rFonts w:ascii="Arial" w:hAnsi="Arial" w:cs="Arial"/>
                <w:sz w:val="22"/>
                <w:szCs w:val="22"/>
              </w:rPr>
            </w:pPr>
          </w:p>
        </w:tc>
        <w:tc>
          <w:tcPr>
            <w:tcW w:w="2491" w:type="dxa"/>
            <w:tcBorders>
              <w:top w:val="single" w:sz="4" w:space="0" w:color="00000A"/>
              <w:left w:val="single" w:sz="4" w:space="0" w:color="000001"/>
              <w:bottom w:val="single" w:sz="4" w:space="0" w:color="000001"/>
              <w:right w:val="single" w:sz="4" w:space="0" w:color="00000A"/>
            </w:tcBorders>
            <w:shd w:val="clear" w:color="auto" w:fill="FFFFFF"/>
            <w:tcMar>
              <w:left w:w="35" w:type="dxa"/>
            </w:tcMar>
            <w:vAlign w:val="center"/>
          </w:tcPr>
          <w:p w14:paraId="7304438B"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Ripristino</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5A02B41"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8 ore + 30 minuti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6CA81B7A"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H24, 7x7</w:t>
            </w:r>
          </w:p>
        </w:tc>
      </w:tr>
      <w:tr w:rsidR="00671767" w:rsidRPr="001F59CF" w14:paraId="26D610B6" w14:textId="77777777" w:rsidTr="00233CA8">
        <w:trPr>
          <w:trHeight w:val="340"/>
          <w:jc w:val="center"/>
        </w:trPr>
        <w:tc>
          <w:tcPr>
            <w:tcW w:w="1274" w:type="dxa"/>
            <w:vMerge/>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27A20977" w14:textId="77777777" w:rsidR="00671767" w:rsidRPr="001F59CF" w:rsidRDefault="00671767" w:rsidP="00233CA8">
            <w:pPr>
              <w:rPr>
                <w:rFonts w:ascii="Arial" w:hAnsi="Arial" w:cs="Arial"/>
                <w:sz w:val="22"/>
                <w:szCs w:val="22"/>
              </w:rPr>
            </w:pPr>
          </w:p>
        </w:tc>
        <w:tc>
          <w:tcPr>
            <w:tcW w:w="2491" w:type="dxa"/>
            <w:tcBorders>
              <w:top w:val="single" w:sz="4" w:space="0" w:color="00000A"/>
              <w:left w:val="single" w:sz="4" w:space="0" w:color="000001"/>
              <w:bottom w:val="single" w:sz="4" w:space="0" w:color="00000A"/>
              <w:right w:val="single" w:sz="4" w:space="0" w:color="00000A"/>
            </w:tcBorders>
            <w:shd w:val="clear" w:color="auto" w:fill="FFFFFF"/>
            <w:tcMar>
              <w:left w:w="35" w:type="dxa"/>
            </w:tcMar>
            <w:vAlign w:val="center"/>
          </w:tcPr>
          <w:p w14:paraId="0E51E29D"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Risoluzione</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66F6657"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12 ore + 30 minuti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2AB6187C"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H24, 7x7</w:t>
            </w:r>
          </w:p>
        </w:tc>
      </w:tr>
      <w:tr w:rsidR="00671767" w:rsidRPr="001F59CF" w14:paraId="5F7FB6BD" w14:textId="77777777" w:rsidTr="00233CA8">
        <w:trPr>
          <w:trHeight w:val="340"/>
          <w:jc w:val="center"/>
        </w:trPr>
        <w:tc>
          <w:tcPr>
            <w:tcW w:w="1274" w:type="dxa"/>
            <w:vMerge w:val="restart"/>
            <w:tcBorders>
              <w:top w:val="single" w:sz="4" w:space="0" w:color="00000A"/>
              <w:left w:val="single" w:sz="4" w:space="0" w:color="000001"/>
              <w:bottom w:val="single" w:sz="4" w:space="0" w:color="00000A"/>
              <w:right w:val="single" w:sz="4" w:space="0" w:color="00000A"/>
            </w:tcBorders>
            <w:shd w:val="clear" w:color="auto" w:fill="FFFFFF"/>
            <w:tcMar>
              <w:left w:w="35" w:type="dxa"/>
            </w:tcMar>
            <w:vAlign w:val="center"/>
          </w:tcPr>
          <w:p w14:paraId="7D4BCA6A"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Severità 2</w:t>
            </w:r>
          </w:p>
        </w:tc>
        <w:tc>
          <w:tcPr>
            <w:tcW w:w="2491" w:type="dxa"/>
            <w:tcBorders>
              <w:top w:val="single" w:sz="4" w:space="0" w:color="00000A"/>
              <w:left w:val="single" w:sz="4" w:space="0" w:color="000001"/>
              <w:bottom w:val="single" w:sz="4" w:space="0" w:color="000001"/>
              <w:right w:val="single" w:sz="4" w:space="0" w:color="00000A"/>
            </w:tcBorders>
            <w:shd w:val="clear" w:color="auto" w:fill="FFFFFF"/>
            <w:tcMar>
              <w:left w:w="35" w:type="dxa"/>
            </w:tcMar>
            <w:vAlign w:val="center"/>
          </w:tcPr>
          <w:p w14:paraId="5FA13C77"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Presa in carico</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7999A17" w14:textId="77777777" w:rsidR="00671767" w:rsidRPr="001F59CF" w:rsidRDefault="00671767" w:rsidP="00233CA8">
            <w:pPr>
              <w:snapToGrid w:val="0"/>
              <w:jc w:val="center"/>
              <w:rPr>
                <w:rFonts w:ascii="Arial" w:hAnsi="Arial" w:cs="Arial"/>
                <w:sz w:val="22"/>
                <w:szCs w:val="22"/>
              </w:rPr>
            </w:pPr>
            <w:proofErr w:type="gramStart"/>
            <w:r w:rsidRPr="001F59CF">
              <w:rPr>
                <w:rFonts w:ascii="Arial" w:hAnsi="Arial" w:cs="Arial"/>
                <w:sz w:val="22"/>
                <w:szCs w:val="22"/>
              </w:rPr>
              <w:t>2</w:t>
            </w:r>
            <w:proofErr w:type="gramEnd"/>
            <w:r w:rsidRPr="001F59CF">
              <w:rPr>
                <w:rFonts w:ascii="Arial" w:hAnsi="Arial" w:cs="Arial"/>
                <w:sz w:val="22"/>
                <w:szCs w:val="22"/>
              </w:rPr>
              <w:t xml:space="preserve"> ore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6AB93DAB"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H24, 7x7</w:t>
            </w:r>
          </w:p>
        </w:tc>
      </w:tr>
      <w:tr w:rsidR="00671767" w:rsidRPr="001F59CF" w14:paraId="64DB7A0C" w14:textId="77777777" w:rsidTr="00233CA8">
        <w:trPr>
          <w:trHeight w:val="340"/>
          <w:jc w:val="center"/>
        </w:trPr>
        <w:tc>
          <w:tcPr>
            <w:tcW w:w="1274" w:type="dxa"/>
            <w:vMerge/>
            <w:tcBorders>
              <w:top w:val="single" w:sz="4" w:space="0" w:color="00000A"/>
              <w:left w:val="single" w:sz="4" w:space="0" w:color="000001"/>
              <w:bottom w:val="single" w:sz="4" w:space="0" w:color="00000A"/>
              <w:right w:val="single" w:sz="4" w:space="0" w:color="00000A"/>
            </w:tcBorders>
            <w:shd w:val="clear" w:color="auto" w:fill="FFFFFF"/>
            <w:tcMar>
              <w:left w:w="35" w:type="dxa"/>
            </w:tcMar>
            <w:vAlign w:val="center"/>
          </w:tcPr>
          <w:p w14:paraId="419266E6" w14:textId="77777777" w:rsidR="00671767" w:rsidRPr="001F59CF" w:rsidRDefault="00671767" w:rsidP="00233CA8">
            <w:pPr>
              <w:rPr>
                <w:rFonts w:ascii="Arial" w:hAnsi="Arial" w:cs="Arial"/>
                <w:sz w:val="22"/>
                <w:szCs w:val="22"/>
              </w:rPr>
            </w:pPr>
          </w:p>
        </w:tc>
        <w:tc>
          <w:tcPr>
            <w:tcW w:w="2491" w:type="dxa"/>
            <w:tcBorders>
              <w:top w:val="single" w:sz="4" w:space="0" w:color="00000A"/>
              <w:left w:val="single" w:sz="4" w:space="0" w:color="000001"/>
              <w:bottom w:val="single" w:sz="4" w:space="0" w:color="000001"/>
              <w:right w:val="single" w:sz="4" w:space="0" w:color="00000A"/>
            </w:tcBorders>
            <w:shd w:val="clear" w:color="auto" w:fill="FFFFFF"/>
            <w:tcMar>
              <w:left w:w="35" w:type="dxa"/>
            </w:tcMar>
            <w:vAlign w:val="center"/>
          </w:tcPr>
          <w:p w14:paraId="28825129"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Intervento</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A704FF0" w14:textId="77777777" w:rsidR="00671767" w:rsidRPr="001F59CF" w:rsidRDefault="00671767" w:rsidP="00233CA8">
            <w:pPr>
              <w:snapToGrid w:val="0"/>
              <w:jc w:val="center"/>
              <w:rPr>
                <w:rFonts w:ascii="Arial" w:hAnsi="Arial" w:cs="Arial"/>
                <w:sz w:val="22"/>
                <w:szCs w:val="22"/>
              </w:rPr>
            </w:pPr>
            <w:proofErr w:type="gramStart"/>
            <w:r w:rsidRPr="001F59CF">
              <w:rPr>
                <w:rFonts w:ascii="Arial" w:hAnsi="Arial" w:cs="Arial"/>
                <w:sz w:val="22"/>
                <w:szCs w:val="22"/>
              </w:rPr>
              <w:t>6</w:t>
            </w:r>
            <w:proofErr w:type="gramEnd"/>
            <w:r w:rsidRPr="001F59CF">
              <w:rPr>
                <w:rFonts w:ascii="Arial" w:hAnsi="Arial" w:cs="Arial"/>
                <w:sz w:val="22"/>
                <w:szCs w:val="22"/>
              </w:rPr>
              <w:t xml:space="preserve"> ore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31B76CF3"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H24, 7x7</w:t>
            </w:r>
          </w:p>
        </w:tc>
      </w:tr>
      <w:tr w:rsidR="00671767" w:rsidRPr="001F59CF" w14:paraId="38B06D5B" w14:textId="77777777" w:rsidTr="00233CA8">
        <w:trPr>
          <w:trHeight w:val="340"/>
          <w:jc w:val="center"/>
        </w:trPr>
        <w:tc>
          <w:tcPr>
            <w:tcW w:w="1274" w:type="dxa"/>
            <w:vMerge/>
            <w:tcBorders>
              <w:top w:val="single" w:sz="4" w:space="0" w:color="00000A"/>
              <w:left w:val="single" w:sz="4" w:space="0" w:color="000001"/>
              <w:bottom w:val="single" w:sz="4" w:space="0" w:color="00000A"/>
              <w:right w:val="single" w:sz="4" w:space="0" w:color="00000A"/>
            </w:tcBorders>
            <w:shd w:val="clear" w:color="auto" w:fill="FFFFFF"/>
            <w:tcMar>
              <w:left w:w="35" w:type="dxa"/>
            </w:tcMar>
            <w:vAlign w:val="center"/>
          </w:tcPr>
          <w:p w14:paraId="52E5FB0B" w14:textId="77777777" w:rsidR="00671767" w:rsidRPr="001F59CF" w:rsidRDefault="00671767" w:rsidP="00233CA8">
            <w:pPr>
              <w:rPr>
                <w:rFonts w:ascii="Arial" w:hAnsi="Arial" w:cs="Arial"/>
                <w:sz w:val="22"/>
                <w:szCs w:val="22"/>
              </w:rPr>
            </w:pPr>
          </w:p>
        </w:tc>
        <w:tc>
          <w:tcPr>
            <w:tcW w:w="2491" w:type="dxa"/>
            <w:tcBorders>
              <w:top w:val="single" w:sz="4" w:space="0" w:color="000001"/>
              <w:left w:val="single" w:sz="4" w:space="0" w:color="000001"/>
              <w:bottom w:val="single" w:sz="4" w:space="0" w:color="000001"/>
              <w:right w:val="single" w:sz="4" w:space="0" w:color="00000A"/>
            </w:tcBorders>
            <w:shd w:val="clear" w:color="auto" w:fill="FFFFFF"/>
            <w:tcMar>
              <w:left w:w="35" w:type="dxa"/>
            </w:tcMar>
            <w:vAlign w:val="center"/>
          </w:tcPr>
          <w:p w14:paraId="5BDCC949"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Ripristino</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022CBC3"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14 ore + 2 ore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11EFD44E"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H24, 7x7</w:t>
            </w:r>
          </w:p>
        </w:tc>
      </w:tr>
      <w:tr w:rsidR="00671767" w:rsidRPr="001F59CF" w14:paraId="31DDE763" w14:textId="77777777" w:rsidTr="00233CA8">
        <w:trPr>
          <w:trHeight w:val="340"/>
          <w:jc w:val="center"/>
        </w:trPr>
        <w:tc>
          <w:tcPr>
            <w:tcW w:w="1274" w:type="dxa"/>
            <w:vMerge/>
            <w:tcBorders>
              <w:top w:val="single" w:sz="4" w:space="0" w:color="00000A"/>
              <w:left w:val="single" w:sz="4" w:space="0" w:color="000001"/>
              <w:bottom w:val="single" w:sz="4" w:space="0" w:color="00000A"/>
              <w:right w:val="single" w:sz="4" w:space="0" w:color="00000A"/>
            </w:tcBorders>
            <w:shd w:val="clear" w:color="auto" w:fill="FFFFFF"/>
            <w:tcMar>
              <w:left w:w="35" w:type="dxa"/>
            </w:tcMar>
            <w:vAlign w:val="center"/>
          </w:tcPr>
          <w:p w14:paraId="63601EAA" w14:textId="77777777" w:rsidR="00671767" w:rsidRPr="001F59CF" w:rsidRDefault="00671767" w:rsidP="00233CA8">
            <w:pPr>
              <w:rPr>
                <w:rFonts w:ascii="Arial" w:hAnsi="Arial" w:cs="Arial"/>
                <w:sz w:val="22"/>
                <w:szCs w:val="22"/>
              </w:rPr>
            </w:pPr>
          </w:p>
        </w:tc>
        <w:tc>
          <w:tcPr>
            <w:tcW w:w="2491" w:type="dxa"/>
            <w:tcBorders>
              <w:top w:val="single" w:sz="4" w:space="0" w:color="000001"/>
              <w:left w:val="single" w:sz="4" w:space="0" w:color="000001"/>
              <w:bottom w:val="single" w:sz="4" w:space="0" w:color="000001"/>
              <w:right w:val="single" w:sz="4" w:space="0" w:color="00000A"/>
            </w:tcBorders>
            <w:shd w:val="clear" w:color="auto" w:fill="FFFFFF"/>
            <w:tcMar>
              <w:left w:w="35" w:type="dxa"/>
            </w:tcMar>
            <w:vAlign w:val="center"/>
          </w:tcPr>
          <w:p w14:paraId="79853B18"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Risoluzione</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738F1AC"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18 ore + 2 ore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2E9C00F8"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H24, 7x7</w:t>
            </w:r>
          </w:p>
        </w:tc>
      </w:tr>
      <w:tr w:rsidR="00671767" w:rsidRPr="001F59CF" w14:paraId="2E0989EA" w14:textId="77777777" w:rsidTr="00233CA8">
        <w:trPr>
          <w:trHeight w:val="340"/>
          <w:jc w:val="center"/>
        </w:trPr>
        <w:tc>
          <w:tcPr>
            <w:tcW w:w="12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29028AC5"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Severità 3</w:t>
            </w:r>
          </w:p>
        </w:tc>
        <w:tc>
          <w:tcPr>
            <w:tcW w:w="2491" w:type="dxa"/>
            <w:tcBorders>
              <w:top w:val="single" w:sz="4" w:space="0" w:color="000001"/>
              <w:left w:val="single" w:sz="4" w:space="0" w:color="00000A"/>
              <w:bottom w:val="single" w:sz="4" w:space="0" w:color="000001"/>
              <w:right w:val="single" w:sz="4" w:space="0" w:color="00000A"/>
            </w:tcBorders>
            <w:shd w:val="clear" w:color="auto" w:fill="FFFFFF"/>
            <w:tcMar>
              <w:left w:w="35" w:type="dxa"/>
            </w:tcMar>
            <w:vAlign w:val="center"/>
          </w:tcPr>
          <w:p w14:paraId="61927E2F"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Presa in carico</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BFFAA04" w14:textId="77777777" w:rsidR="00671767" w:rsidRPr="001F59CF" w:rsidRDefault="00671767" w:rsidP="00233CA8">
            <w:pPr>
              <w:snapToGrid w:val="0"/>
              <w:jc w:val="center"/>
              <w:rPr>
                <w:rFonts w:ascii="Arial" w:hAnsi="Arial" w:cs="Arial"/>
                <w:sz w:val="22"/>
                <w:szCs w:val="22"/>
              </w:rPr>
            </w:pPr>
            <w:proofErr w:type="gramStart"/>
            <w:r w:rsidRPr="001F59CF">
              <w:rPr>
                <w:rFonts w:ascii="Arial" w:hAnsi="Arial" w:cs="Arial"/>
                <w:sz w:val="22"/>
                <w:szCs w:val="22"/>
              </w:rPr>
              <w:t>3</w:t>
            </w:r>
            <w:proofErr w:type="gramEnd"/>
            <w:r w:rsidRPr="001F59CF">
              <w:rPr>
                <w:rFonts w:ascii="Arial" w:hAnsi="Arial" w:cs="Arial"/>
                <w:sz w:val="22"/>
                <w:szCs w:val="22"/>
              </w:rPr>
              <w:t xml:space="preserve"> ore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2A2A263C"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8:00-17:00 9x5</w:t>
            </w:r>
          </w:p>
        </w:tc>
      </w:tr>
      <w:tr w:rsidR="00671767" w:rsidRPr="001F59CF" w14:paraId="65F10D43" w14:textId="77777777" w:rsidTr="00233CA8">
        <w:trPr>
          <w:trHeight w:val="340"/>
          <w:jc w:val="center"/>
        </w:trPr>
        <w:tc>
          <w:tcPr>
            <w:tcW w:w="1274" w:type="dxa"/>
            <w:vMerge/>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3EFC9FBD" w14:textId="77777777" w:rsidR="00671767" w:rsidRPr="001F59CF" w:rsidRDefault="00671767" w:rsidP="00233CA8">
            <w:pPr>
              <w:rPr>
                <w:rFonts w:ascii="Arial" w:hAnsi="Arial" w:cs="Arial"/>
                <w:sz w:val="22"/>
                <w:szCs w:val="22"/>
              </w:rPr>
            </w:pPr>
          </w:p>
        </w:tc>
        <w:tc>
          <w:tcPr>
            <w:tcW w:w="2491" w:type="dxa"/>
            <w:tcBorders>
              <w:top w:val="single" w:sz="4" w:space="0" w:color="000001"/>
              <w:left w:val="single" w:sz="4" w:space="0" w:color="00000A"/>
              <w:bottom w:val="single" w:sz="4" w:space="0" w:color="000001"/>
              <w:right w:val="single" w:sz="4" w:space="0" w:color="00000A"/>
            </w:tcBorders>
            <w:shd w:val="clear" w:color="auto" w:fill="FFFFFF"/>
            <w:tcMar>
              <w:left w:w="35" w:type="dxa"/>
            </w:tcMar>
            <w:vAlign w:val="center"/>
          </w:tcPr>
          <w:p w14:paraId="7C88E54E" w14:textId="77777777" w:rsidR="00671767" w:rsidRPr="001F59CF" w:rsidRDefault="00671767" w:rsidP="00233CA8">
            <w:pPr>
              <w:snapToGrid w:val="0"/>
              <w:jc w:val="both"/>
              <w:rPr>
                <w:rFonts w:ascii="Arial" w:hAnsi="Arial" w:cs="Arial"/>
                <w:sz w:val="22"/>
                <w:szCs w:val="22"/>
              </w:rPr>
            </w:pPr>
            <w:r w:rsidRPr="001F59CF">
              <w:rPr>
                <w:rFonts w:ascii="Arial" w:hAnsi="Arial" w:cs="Arial"/>
                <w:sz w:val="22"/>
                <w:szCs w:val="22"/>
              </w:rPr>
              <w:t>Tempo di Risoluzione</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AD1E4C3"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45 ore + 3 ore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14:paraId="5141D765" w14:textId="77777777" w:rsidR="00671767" w:rsidRPr="001F59CF" w:rsidRDefault="00671767" w:rsidP="00233CA8">
            <w:pPr>
              <w:snapToGrid w:val="0"/>
              <w:jc w:val="center"/>
              <w:rPr>
                <w:rFonts w:ascii="Arial" w:hAnsi="Arial" w:cs="Arial"/>
                <w:sz w:val="22"/>
                <w:szCs w:val="22"/>
              </w:rPr>
            </w:pPr>
            <w:r w:rsidRPr="001F59CF">
              <w:rPr>
                <w:rFonts w:ascii="Arial" w:hAnsi="Arial" w:cs="Arial"/>
                <w:sz w:val="22"/>
                <w:szCs w:val="22"/>
              </w:rPr>
              <w:t>8:00-17:00 9x5</w:t>
            </w:r>
          </w:p>
        </w:tc>
      </w:tr>
    </w:tbl>
    <w:p w14:paraId="6B96BFCB" w14:textId="77777777" w:rsidR="00671767" w:rsidRPr="001F59CF" w:rsidRDefault="00671767" w:rsidP="00671767">
      <w:pPr>
        <w:ind w:left="792"/>
        <w:rPr>
          <w:rFonts w:ascii="Arial" w:hAnsi="Arial" w:cs="Arial"/>
          <w:sz w:val="22"/>
          <w:szCs w:val="22"/>
        </w:rPr>
      </w:pPr>
    </w:p>
    <w:p w14:paraId="1148C3A3" w14:textId="77796FFE" w:rsidR="00671767" w:rsidRDefault="00671767" w:rsidP="00671767">
      <w:pPr>
        <w:spacing w:after="120"/>
        <w:jc w:val="both"/>
        <w:rPr>
          <w:rFonts w:ascii="Arial" w:hAnsi="Arial" w:cs="Arial"/>
          <w:sz w:val="22"/>
          <w:szCs w:val="22"/>
          <w:lang w:eastAsia="en-US"/>
        </w:rPr>
      </w:pPr>
      <w:r w:rsidRPr="001F59CF">
        <w:rPr>
          <w:rFonts w:ascii="Arial" w:hAnsi="Arial" w:cs="Arial"/>
          <w:sz w:val="22"/>
          <w:szCs w:val="22"/>
          <w:lang w:eastAsia="en-US"/>
        </w:rPr>
        <w:t>Rispetto alla categoria Severità 4 non viene richiesto di valutare indicatori specifici.</w:t>
      </w:r>
    </w:p>
    <w:p w14:paraId="08CA5F35" w14:textId="7B9ABEC4" w:rsidR="00522D67" w:rsidRDefault="00522D67" w:rsidP="00671767">
      <w:pPr>
        <w:spacing w:after="120"/>
        <w:jc w:val="both"/>
        <w:rPr>
          <w:rFonts w:ascii="Arial" w:hAnsi="Arial" w:cs="Arial"/>
          <w:b/>
          <w:bCs/>
          <w:sz w:val="22"/>
          <w:lang w:eastAsia="en-US"/>
        </w:rPr>
      </w:pPr>
      <w:r>
        <w:rPr>
          <w:rFonts w:ascii="Arial" w:hAnsi="Arial" w:cs="Arial"/>
          <w:sz w:val="22"/>
          <w:lang w:eastAsia="en-US"/>
        </w:rPr>
        <w:t xml:space="preserve">La valutazione degli indicatori avverrà con cadenza trimestrale ed il CSI-Piemonte si riserverà la facoltà di applicare eventuali </w:t>
      </w:r>
      <w:r w:rsidRPr="00522D67">
        <w:rPr>
          <w:rFonts w:ascii="Arial" w:hAnsi="Arial" w:cs="Arial"/>
          <w:b/>
          <w:bCs/>
          <w:sz w:val="22"/>
          <w:lang w:eastAsia="en-US"/>
        </w:rPr>
        <w:t>PENALI</w:t>
      </w:r>
      <w:r>
        <w:rPr>
          <w:rFonts w:ascii="Arial" w:hAnsi="Arial" w:cs="Arial"/>
          <w:b/>
          <w:bCs/>
          <w:sz w:val="22"/>
          <w:lang w:eastAsia="en-US"/>
        </w:rPr>
        <w:t>.</w:t>
      </w:r>
    </w:p>
    <w:p w14:paraId="7A955A9D" w14:textId="77777777" w:rsidR="00522D67" w:rsidRPr="001F59CF" w:rsidRDefault="00522D67" w:rsidP="00671767">
      <w:pPr>
        <w:spacing w:after="120"/>
        <w:jc w:val="both"/>
        <w:rPr>
          <w:rFonts w:ascii="Arial" w:hAnsi="Arial" w:cs="Arial"/>
          <w:sz w:val="22"/>
          <w:szCs w:val="22"/>
          <w:lang w:eastAsia="en-US"/>
        </w:rPr>
      </w:pPr>
    </w:p>
    <w:p w14:paraId="128CCFBB" w14:textId="4E355F8A" w:rsidR="00671767" w:rsidRPr="001F59CF" w:rsidRDefault="00671767" w:rsidP="001F59CF">
      <w:pPr>
        <w:pStyle w:val="Titolo1"/>
        <w:numPr>
          <w:ilvl w:val="0"/>
          <w:numId w:val="11"/>
        </w:numPr>
      </w:pPr>
      <w:r w:rsidRPr="001F59CF">
        <w:t xml:space="preserve">IMPORTI ECONOMICI </w:t>
      </w:r>
    </w:p>
    <w:p w14:paraId="3F09FF5E" w14:textId="3D86DBE5" w:rsidR="00671767" w:rsidRPr="00590120" w:rsidRDefault="00671767" w:rsidP="00671767">
      <w:pPr>
        <w:pStyle w:val="NormaleWeb"/>
        <w:jc w:val="both"/>
        <w:rPr>
          <w:rFonts w:ascii="Arial" w:hAnsi="Arial" w:cs="Arial"/>
          <w:sz w:val="22"/>
          <w:szCs w:val="22"/>
        </w:rPr>
      </w:pPr>
      <w:r w:rsidRPr="001F59CF">
        <w:rPr>
          <w:rFonts w:ascii="Arial" w:hAnsi="Arial" w:cs="Arial"/>
          <w:sz w:val="22"/>
          <w:szCs w:val="22"/>
        </w:rPr>
        <w:t xml:space="preserve">Per i servizi di cui </w:t>
      </w:r>
      <w:r w:rsidRPr="00590120">
        <w:rPr>
          <w:rFonts w:ascii="Arial" w:hAnsi="Arial" w:cs="Arial"/>
          <w:sz w:val="22"/>
          <w:szCs w:val="22"/>
        </w:rPr>
        <w:t>all’art.</w:t>
      </w:r>
      <w:r w:rsidR="00C92392" w:rsidRPr="00590120">
        <w:rPr>
          <w:rFonts w:ascii="Arial" w:hAnsi="Arial" w:cs="Arial"/>
          <w:sz w:val="22"/>
          <w:szCs w:val="22"/>
        </w:rPr>
        <w:t>1,</w:t>
      </w:r>
      <w:r w:rsidRPr="00590120">
        <w:rPr>
          <w:rFonts w:ascii="Arial" w:hAnsi="Arial" w:cs="Arial"/>
          <w:sz w:val="22"/>
          <w:szCs w:val="22"/>
        </w:rPr>
        <w:t xml:space="preserve"> lett. a) </w:t>
      </w:r>
      <w:r w:rsidRPr="00590120">
        <w:rPr>
          <w:rFonts w:ascii="Arial" w:eastAsia="Times New Roman" w:hAnsi="Arial" w:cs="Arial"/>
          <w:sz w:val="22"/>
          <w:szCs w:val="22"/>
        </w:rPr>
        <w:t xml:space="preserve">FORNITURA MINIMA GARANTITA il Consorzio </w:t>
      </w:r>
      <w:r w:rsidR="00C92392" w:rsidRPr="00590120">
        <w:rPr>
          <w:rFonts w:ascii="Arial" w:eastAsia="Times New Roman" w:hAnsi="Arial" w:cs="Arial"/>
          <w:sz w:val="22"/>
          <w:szCs w:val="22"/>
        </w:rPr>
        <w:t xml:space="preserve">ipotizza un impegno economico di </w:t>
      </w:r>
      <w:r w:rsidRPr="00590120">
        <w:rPr>
          <w:rFonts w:ascii="Arial" w:eastAsia="Times New Roman" w:hAnsi="Arial" w:cs="Arial"/>
          <w:b/>
          <w:sz w:val="22"/>
          <w:szCs w:val="22"/>
        </w:rPr>
        <w:t>€ 160.000,00</w:t>
      </w:r>
      <w:r w:rsidR="00590120">
        <w:rPr>
          <w:rFonts w:ascii="Arial" w:eastAsia="Times New Roman" w:hAnsi="Arial" w:cs="Arial"/>
          <w:b/>
          <w:sz w:val="22"/>
          <w:szCs w:val="22"/>
        </w:rPr>
        <w:t xml:space="preserve"> </w:t>
      </w:r>
      <w:r w:rsidR="00590120" w:rsidRPr="00590120">
        <w:rPr>
          <w:rFonts w:ascii="Arial" w:eastAsia="Times New Roman" w:hAnsi="Arial" w:cs="Arial"/>
          <w:sz w:val="22"/>
          <w:szCs w:val="22"/>
        </w:rPr>
        <w:t>(oltre oneri di legge)</w:t>
      </w:r>
      <w:r w:rsidRPr="00590120">
        <w:rPr>
          <w:rFonts w:ascii="Arial" w:eastAsia="Times New Roman" w:hAnsi="Arial" w:cs="Arial"/>
          <w:sz w:val="22"/>
          <w:szCs w:val="22"/>
        </w:rPr>
        <w:t xml:space="preserve">, per i servizi di cui alla lett. b) </w:t>
      </w:r>
      <w:r w:rsidRPr="00590120">
        <w:rPr>
          <w:rFonts w:ascii="Arial" w:eastAsia="MS Mincho" w:hAnsi="Arial" w:cs="Arial"/>
          <w:bCs/>
          <w:sz w:val="22"/>
          <w:szCs w:val="22"/>
        </w:rPr>
        <w:t xml:space="preserve">FORNITURA DI SUBSCRIPTION CEPH AGGIUNTIVE </w:t>
      </w:r>
      <w:r w:rsidRPr="00590120">
        <w:rPr>
          <w:rFonts w:ascii="Arial" w:eastAsia="Times New Roman" w:hAnsi="Arial" w:cs="Arial"/>
          <w:sz w:val="22"/>
          <w:szCs w:val="22"/>
        </w:rPr>
        <w:t>del medesimo articolo</w:t>
      </w:r>
      <w:r w:rsidR="00C92392" w:rsidRPr="00590120">
        <w:rPr>
          <w:rFonts w:ascii="Arial" w:eastAsia="Times New Roman" w:hAnsi="Arial" w:cs="Arial"/>
          <w:sz w:val="22"/>
          <w:szCs w:val="22"/>
        </w:rPr>
        <w:t>,</w:t>
      </w:r>
      <w:r w:rsidRPr="00590120">
        <w:rPr>
          <w:rFonts w:ascii="Arial" w:eastAsia="Times New Roman" w:hAnsi="Arial" w:cs="Arial"/>
          <w:sz w:val="22"/>
          <w:szCs w:val="22"/>
        </w:rPr>
        <w:t xml:space="preserve"> stima un importo massimo di spesa pari ad </w:t>
      </w:r>
      <w:r w:rsidRPr="00590120">
        <w:rPr>
          <w:rFonts w:ascii="Arial" w:eastAsia="Times New Roman" w:hAnsi="Arial" w:cs="Arial"/>
          <w:b/>
          <w:sz w:val="22"/>
          <w:szCs w:val="22"/>
        </w:rPr>
        <w:t>€ 90.000,00</w:t>
      </w:r>
      <w:r w:rsidRPr="00590120">
        <w:rPr>
          <w:rFonts w:ascii="Arial" w:eastAsia="Times New Roman" w:hAnsi="Arial" w:cs="Arial"/>
          <w:sz w:val="22"/>
          <w:szCs w:val="22"/>
        </w:rPr>
        <w:t xml:space="preserve"> </w:t>
      </w:r>
      <w:r w:rsidR="00590120" w:rsidRPr="00590120">
        <w:rPr>
          <w:rFonts w:ascii="Arial" w:eastAsia="Times New Roman" w:hAnsi="Arial" w:cs="Arial"/>
          <w:sz w:val="22"/>
          <w:szCs w:val="22"/>
        </w:rPr>
        <w:t>(oltre oneri di legge)</w:t>
      </w:r>
      <w:r w:rsidR="00590120">
        <w:rPr>
          <w:rFonts w:ascii="Arial" w:eastAsia="Times New Roman" w:hAnsi="Arial" w:cs="Arial"/>
          <w:sz w:val="22"/>
          <w:szCs w:val="22"/>
        </w:rPr>
        <w:t>.</w:t>
      </w:r>
    </w:p>
    <w:p w14:paraId="7A8CDA54" w14:textId="77777777" w:rsidR="00671767" w:rsidRPr="00590120" w:rsidRDefault="00671767" w:rsidP="00671767">
      <w:pPr>
        <w:pStyle w:val="Standard"/>
        <w:suppressAutoHyphens w:val="0"/>
        <w:ind w:left="568"/>
        <w:rPr>
          <w:szCs w:val="22"/>
        </w:rPr>
      </w:pPr>
    </w:p>
    <w:p w14:paraId="60013040" w14:textId="7F8D0760" w:rsidR="006447E7" w:rsidRPr="001F59CF" w:rsidRDefault="006447E7" w:rsidP="00C92392">
      <w:pPr>
        <w:ind w:left="5664" w:firstLine="708"/>
        <w:rPr>
          <w:rFonts w:ascii="Arial" w:hAnsi="Arial" w:cs="Arial"/>
          <w:sz w:val="22"/>
          <w:szCs w:val="22"/>
        </w:rPr>
      </w:pPr>
      <w:bookmarkStart w:id="64" w:name="_Hlk73002805"/>
      <w:bookmarkEnd w:id="64"/>
      <w:r w:rsidRPr="001F59CF">
        <w:rPr>
          <w:rFonts w:ascii="Arial" w:hAnsi="Arial" w:cs="Arial"/>
          <w:sz w:val="22"/>
          <w:szCs w:val="22"/>
        </w:rPr>
        <w:t>Firma digitale</w:t>
      </w:r>
    </w:p>
    <w:p w14:paraId="28A4FEFD" w14:textId="77777777" w:rsidR="006447E7" w:rsidRPr="001F59CF" w:rsidRDefault="006447E7" w:rsidP="006447E7">
      <w:pPr>
        <w:spacing w:after="120"/>
        <w:ind w:left="5670" w:hanging="1842"/>
        <w:rPr>
          <w:rFonts w:ascii="Arial" w:hAnsi="Arial" w:cs="Arial"/>
          <w:i/>
          <w:iCs/>
          <w:sz w:val="22"/>
          <w:szCs w:val="22"/>
        </w:rPr>
      </w:pPr>
      <w:r w:rsidRPr="001F59CF">
        <w:rPr>
          <w:rFonts w:ascii="Arial" w:hAnsi="Arial" w:cs="Arial"/>
          <w:i/>
          <w:iCs/>
          <w:sz w:val="22"/>
          <w:szCs w:val="22"/>
        </w:rPr>
        <w:t>(Legale rappresentante o Persona autorizzata alla firma)</w:t>
      </w:r>
    </w:p>
    <w:p w14:paraId="0DF9E2C7" w14:textId="77777777" w:rsidR="006447E7" w:rsidRDefault="006447E7"/>
    <w:sectPr w:rsidR="006447E7" w:rsidSect="00127A53">
      <w:headerReference w:type="default" r:id="rId11"/>
      <w:type w:val="continuous"/>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E731" w14:textId="77777777" w:rsidR="00AA5316" w:rsidRDefault="00AA5316">
      <w:r>
        <w:separator/>
      </w:r>
    </w:p>
  </w:endnote>
  <w:endnote w:type="continuationSeparator" w:id="0">
    <w:p w14:paraId="605C5E7F" w14:textId="77777777" w:rsidR="00AA5316" w:rsidRDefault="00AA5316">
      <w:r>
        <w:continuationSeparator/>
      </w:r>
    </w:p>
  </w:endnote>
  <w:endnote w:type="continuationNotice" w:id="1">
    <w:p w14:paraId="2F7A3814" w14:textId="77777777" w:rsidR="00AA5316" w:rsidRDefault="00AA5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577E4" w14:textId="77777777" w:rsidR="00AA5316" w:rsidRDefault="00AA5316"/>
  </w:footnote>
  <w:footnote w:type="continuationSeparator" w:id="0">
    <w:p w14:paraId="38343173" w14:textId="77777777" w:rsidR="00AA5316" w:rsidRDefault="00AA5316">
      <w:r>
        <w:continuationSeparator/>
      </w:r>
    </w:p>
  </w:footnote>
  <w:footnote w:type="continuationNotice" w:id="1">
    <w:p w14:paraId="20B722D8" w14:textId="77777777" w:rsidR="00AA5316" w:rsidRDefault="00AA5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DA39" w14:textId="77777777" w:rsidR="00AA5316" w:rsidRDefault="00AA531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6"/>
      <w:gridCol w:w="2685"/>
    </w:tblGrid>
    <w:tr w:rsidR="00AA5316" w14:paraId="2CD34322" w14:textId="77777777" w:rsidTr="1A41FB06">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77777777" w:rsidR="00AA5316" w:rsidRDefault="1A41FB06">
          <w:pPr>
            <w:tabs>
              <w:tab w:val="left" w:pos="1134"/>
            </w:tabs>
            <w:spacing w:line="240" w:lineRule="atLeast"/>
            <w:jc w:val="center"/>
          </w:pPr>
          <w:r>
            <w:rPr>
              <w:noProof/>
            </w:rPr>
            <w:drawing>
              <wp:inline distT="0" distB="0" distL="0" distR="0" wp14:anchorId="39B03904" wp14:editId="65794615">
                <wp:extent cx="1055370" cy="34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42684963" w14:textId="77777777" w:rsidR="00AA5316" w:rsidRDefault="00AA5316">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D42CF0" w14:textId="77777777" w:rsidR="00AA5316" w:rsidRDefault="00AA5316">
          <w:pPr>
            <w:tabs>
              <w:tab w:val="left" w:pos="602"/>
            </w:tabs>
            <w:spacing w:line="240" w:lineRule="atLeast"/>
            <w:rPr>
              <w:b/>
              <w:caps/>
              <w:sz w:val="8"/>
              <w:szCs w:val="16"/>
            </w:rPr>
          </w:pPr>
        </w:p>
        <w:p w14:paraId="05F31436" w14:textId="77777777" w:rsidR="00AA5316" w:rsidRPr="00124750" w:rsidRDefault="00AA5316" w:rsidP="00821543">
          <w:pPr>
            <w:tabs>
              <w:tab w:val="left" w:pos="602"/>
            </w:tabs>
            <w:spacing w:before="120" w:after="120"/>
            <w:jc w:val="center"/>
            <w:rPr>
              <w:b/>
              <w:caps/>
              <w:sz w:val="18"/>
              <w:szCs w:val="18"/>
            </w:rPr>
          </w:pPr>
          <w:r w:rsidRPr="00124750">
            <w:rPr>
              <w:b/>
              <w:caps/>
              <w:sz w:val="18"/>
              <w:szCs w:val="18"/>
            </w:rPr>
            <w:t>CSI PIEMONTE</w:t>
          </w:r>
        </w:p>
        <w:p w14:paraId="00104E56" w14:textId="78587DE7" w:rsidR="00AA5316" w:rsidRDefault="00AA5316" w:rsidP="00821543">
          <w:pPr>
            <w:spacing w:before="120" w:after="120"/>
            <w:ind w:left="213"/>
            <w:jc w:val="center"/>
          </w:pPr>
          <w:r w:rsidRPr="00124750">
            <w:rPr>
              <w:b/>
              <w:caps/>
              <w:sz w:val="18"/>
              <w:szCs w:val="18"/>
            </w:rPr>
            <w:t>REQUISITI TECNIC</w:t>
          </w:r>
          <w:r w:rsidR="00590120">
            <w:rPr>
              <w:b/>
              <w:caps/>
              <w:sz w:val="18"/>
              <w:szCs w:val="18"/>
            </w:rPr>
            <w:t xml:space="preserve">I FUNZIONALI </w:t>
          </w:r>
          <w:r w:rsidRPr="00124750">
            <w:rPr>
              <w:b/>
              <w:caps/>
              <w:sz w:val="18"/>
              <w:szCs w:val="18"/>
            </w:rPr>
            <w:t>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6A8ED2" w14:textId="77777777" w:rsidR="00AA5316" w:rsidRDefault="00AA5316">
          <w:pPr>
            <w:spacing w:before="80"/>
            <w:jc w:val="center"/>
            <w:rPr>
              <w:sz w:val="20"/>
            </w:rPr>
          </w:pPr>
        </w:p>
        <w:p w14:paraId="0C99F736" w14:textId="6452D2B6" w:rsidR="00AA5316" w:rsidRDefault="00AA5316">
          <w:pPr>
            <w:spacing w:before="80"/>
            <w:jc w:val="center"/>
          </w:pPr>
          <w:r>
            <w:rPr>
              <w:sz w:val="20"/>
            </w:rPr>
            <w:t>ALLEGATO 1</w:t>
          </w:r>
        </w:p>
        <w:p w14:paraId="623D37B0" w14:textId="77777777" w:rsidR="00AA5316" w:rsidRPr="0098556F" w:rsidRDefault="00AA5316">
          <w:pPr>
            <w:tabs>
              <w:tab w:val="left" w:pos="1134"/>
            </w:tabs>
            <w:spacing w:line="240" w:lineRule="atLeast"/>
            <w:jc w:val="center"/>
            <w:rPr>
              <w:sz w:val="20"/>
            </w:rPr>
          </w:pPr>
        </w:p>
        <w:p w14:paraId="618E5803" w14:textId="77777777" w:rsidR="00AA5316" w:rsidRDefault="00AA5316">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26</w:t>
          </w:r>
          <w:r>
            <w:fldChar w:fldCharType="end"/>
          </w:r>
          <w:r>
            <w:rPr>
              <w:sz w:val="20"/>
            </w:rPr>
            <w:t xml:space="preserve"> di </w:t>
          </w:r>
          <w:bookmarkStart w:id="65" w:name="_Toc5063674761111"/>
          <w:bookmarkStart w:id="66" w:name="_Toc5056840711111"/>
          <w:bookmarkEnd w:id="65"/>
          <w:bookmarkEnd w:id="66"/>
          <w:r>
            <w:rPr>
              <w:rStyle w:val="Numeropagina"/>
              <w:sz w:val="20"/>
            </w:rPr>
            <w:fldChar w:fldCharType="begin"/>
          </w:r>
          <w:r>
            <w:instrText>NUMPAGES</w:instrText>
          </w:r>
          <w:r>
            <w:fldChar w:fldCharType="separate"/>
          </w:r>
          <w:r>
            <w:t>26</w:t>
          </w:r>
          <w:r>
            <w:fldChar w:fldCharType="end"/>
          </w:r>
        </w:p>
      </w:tc>
    </w:tr>
  </w:tbl>
  <w:p w14:paraId="3FC3333D" w14:textId="77777777" w:rsidR="00AA5316" w:rsidRDefault="00AA53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A65"/>
    <w:multiLevelType w:val="multilevel"/>
    <w:tmpl w:val="8260359E"/>
    <w:lvl w:ilvl="0">
      <w:start w:val="1"/>
      <w:numFmt w:val="decimal"/>
      <w:lvlText w:val="%1"/>
      <w:lvlJc w:val="left"/>
      <w:pPr>
        <w:tabs>
          <w:tab w:val="num" w:pos="432"/>
        </w:tabs>
        <w:ind w:left="432" w:hanging="432"/>
      </w:pPr>
      <w:rPr>
        <w:b/>
      </w:rPr>
    </w:lvl>
    <w:lvl w:ilvl="1">
      <w:start w:val="1"/>
      <w:numFmt w:val="decimal"/>
      <w:lvlText w:val="%1.%2"/>
      <w:lvlJc w:val="left"/>
      <w:pPr>
        <w:tabs>
          <w:tab w:val="num" w:pos="1512"/>
        </w:tabs>
        <w:ind w:left="1512" w:hanging="236"/>
      </w:pPr>
      <w:rPr>
        <w:i w:val="0"/>
        <w:sz w:val="22"/>
      </w:rPr>
    </w:lvl>
    <w:lvl w:ilvl="2">
      <w:start w:val="1"/>
      <w:numFmt w:val="decimal"/>
      <w:lvlText w:val="%1.%2.%3"/>
      <w:lvlJc w:val="left"/>
      <w:pPr>
        <w:tabs>
          <w:tab w:val="num" w:pos="862"/>
        </w:tabs>
        <w:ind w:left="862" w:hanging="720"/>
      </w:pPr>
      <w:rPr>
        <w:i w:val="0"/>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F06946"/>
    <w:multiLevelType w:val="hybridMultilevel"/>
    <w:tmpl w:val="C8DAE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7B080C"/>
    <w:multiLevelType w:val="multilevel"/>
    <w:tmpl w:val="A8845698"/>
    <w:lvl w:ilvl="0">
      <w:start w:val="2"/>
      <w:numFmt w:val="decimal"/>
      <w:lvlText w:val="%1."/>
      <w:lvlJc w:val="left"/>
      <w:pPr>
        <w:ind w:left="360" w:hanging="360"/>
      </w:pPr>
      <w:rPr>
        <w:rFonts w:hint="default"/>
        <w:b/>
      </w:rPr>
    </w:lvl>
    <w:lvl w:ilvl="1">
      <w:start w:val="2"/>
      <w:numFmt w:val="decimal"/>
      <w:lvlText w:val="%1.%2."/>
      <w:lvlJc w:val="left"/>
      <w:pPr>
        <w:ind w:left="1524" w:hanging="720"/>
      </w:pPr>
      <w:rPr>
        <w:rFonts w:hint="default"/>
        <w:b/>
      </w:rPr>
    </w:lvl>
    <w:lvl w:ilvl="2">
      <w:start w:val="1"/>
      <w:numFmt w:val="decimal"/>
      <w:lvlText w:val="%1.%2.%3."/>
      <w:lvlJc w:val="left"/>
      <w:pPr>
        <w:ind w:left="2328" w:hanging="720"/>
      </w:pPr>
      <w:rPr>
        <w:rFonts w:hint="default"/>
        <w:b/>
      </w:rPr>
    </w:lvl>
    <w:lvl w:ilvl="3">
      <w:start w:val="1"/>
      <w:numFmt w:val="decimal"/>
      <w:lvlText w:val="%1.%2.%3.%4."/>
      <w:lvlJc w:val="left"/>
      <w:pPr>
        <w:ind w:left="3492" w:hanging="1080"/>
      </w:pPr>
      <w:rPr>
        <w:rFonts w:hint="default"/>
        <w:b/>
      </w:rPr>
    </w:lvl>
    <w:lvl w:ilvl="4">
      <w:start w:val="1"/>
      <w:numFmt w:val="decimal"/>
      <w:lvlText w:val="%1.%2.%3.%4.%5."/>
      <w:lvlJc w:val="left"/>
      <w:pPr>
        <w:ind w:left="4296" w:hanging="1080"/>
      </w:pPr>
      <w:rPr>
        <w:rFonts w:hint="default"/>
        <w:b/>
      </w:rPr>
    </w:lvl>
    <w:lvl w:ilvl="5">
      <w:start w:val="1"/>
      <w:numFmt w:val="decimal"/>
      <w:lvlText w:val="%1.%2.%3.%4.%5.%6."/>
      <w:lvlJc w:val="left"/>
      <w:pPr>
        <w:ind w:left="5460" w:hanging="1440"/>
      </w:pPr>
      <w:rPr>
        <w:rFonts w:hint="default"/>
        <w:b/>
      </w:rPr>
    </w:lvl>
    <w:lvl w:ilvl="6">
      <w:start w:val="1"/>
      <w:numFmt w:val="decimal"/>
      <w:lvlText w:val="%1.%2.%3.%4.%5.%6.%7."/>
      <w:lvlJc w:val="left"/>
      <w:pPr>
        <w:ind w:left="6264" w:hanging="1440"/>
      </w:pPr>
      <w:rPr>
        <w:rFonts w:hint="default"/>
        <w:b/>
      </w:rPr>
    </w:lvl>
    <w:lvl w:ilvl="7">
      <w:start w:val="1"/>
      <w:numFmt w:val="decimal"/>
      <w:lvlText w:val="%1.%2.%3.%4.%5.%6.%7.%8."/>
      <w:lvlJc w:val="left"/>
      <w:pPr>
        <w:ind w:left="7428" w:hanging="1800"/>
      </w:pPr>
      <w:rPr>
        <w:rFonts w:hint="default"/>
        <w:b/>
      </w:rPr>
    </w:lvl>
    <w:lvl w:ilvl="8">
      <w:start w:val="1"/>
      <w:numFmt w:val="decimal"/>
      <w:lvlText w:val="%1.%2.%3.%4.%5.%6.%7.%8.%9."/>
      <w:lvlJc w:val="left"/>
      <w:pPr>
        <w:ind w:left="8232" w:hanging="1800"/>
      </w:pPr>
      <w:rPr>
        <w:rFonts w:hint="default"/>
        <w:b/>
      </w:rPr>
    </w:lvl>
  </w:abstractNum>
  <w:abstractNum w:abstractNumId="5" w15:restartNumberingAfterBreak="0">
    <w:nsid w:val="3E5B6D25"/>
    <w:multiLevelType w:val="hybridMultilevel"/>
    <w:tmpl w:val="06487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F31C50"/>
    <w:multiLevelType w:val="multilevel"/>
    <w:tmpl w:val="E406497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C309BE"/>
    <w:multiLevelType w:val="multilevel"/>
    <w:tmpl w:val="DCAC47D2"/>
    <w:lvl w:ilvl="0">
      <w:start w:val="1"/>
      <w:numFmt w:val="lowerLetter"/>
      <w:lvlText w:val="%1)"/>
      <w:lvlJc w:val="left"/>
      <w:pPr>
        <w:ind w:left="1069" w:hanging="360"/>
      </w:pPr>
      <w:rPr>
        <w:rFonts w:ascii="Arial" w:eastAsia="MS Mincho" w:hAnsi="Arial"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7356F0"/>
    <w:multiLevelType w:val="hybridMultilevel"/>
    <w:tmpl w:val="F5BA9112"/>
    <w:lvl w:ilvl="0" w:tplc="FF46A81C">
      <w:start w:val="1"/>
      <w:numFmt w:val="bullet"/>
      <w:lvlText w:val=""/>
      <w:lvlJc w:val="left"/>
      <w:pPr>
        <w:ind w:left="720" w:hanging="360"/>
      </w:pPr>
      <w:rPr>
        <w:rFonts w:ascii="Symbol" w:hAnsi="Symbol" w:hint="default"/>
      </w:rPr>
    </w:lvl>
    <w:lvl w:ilvl="1" w:tplc="D996CAB4">
      <w:start w:val="1"/>
      <w:numFmt w:val="bullet"/>
      <w:lvlText w:val="o"/>
      <w:lvlJc w:val="left"/>
      <w:pPr>
        <w:ind w:left="1440" w:hanging="360"/>
      </w:pPr>
      <w:rPr>
        <w:rFonts w:ascii="Courier New" w:hAnsi="Courier New" w:hint="default"/>
      </w:rPr>
    </w:lvl>
    <w:lvl w:ilvl="2" w:tplc="0F68522A">
      <w:start w:val="1"/>
      <w:numFmt w:val="bullet"/>
      <w:lvlText w:val=""/>
      <w:lvlJc w:val="left"/>
      <w:pPr>
        <w:ind w:left="2160" w:hanging="360"/>
      </w:pPr>
      <w:rPr>
        <w:rFonts w:ascii="Wingdings" w:hAnsi="Wingdings" w:hint="default"/>
      </w:rPr>
    </w:lvl>
    <w:lvl w:ilvl="3" w:tplc="89B2D430">
      <w:start w:val="1"/>
      <w:numFmt w:val="bullet"/>
      <w:lvlText w:val=""/>
      <w:lvlJc w:val="left"/>
      <w:pPr>
        <w:ind w:left="2880" w:hanging="360"/>
      </w:pPr>
      <w:rPr>
        <w:rFonts w:ascii="Symbol" w:hAnsi="Symbol" w:hint="default"/>
      </w:rPr>
    </w:lvl>
    <w:lvl w:ilvl="4" w:tplc="C3844814">
      <w:start w:val="1"/>
      <w:numFmt w:val="bullet"/>
      <w:lvlText w:val="o"/>
      <w:lvlJc w:val="left"/>
      <w:pPr>
        <w:ind w:left="3600" w:hanging="360"/>
      </w:pPr>
      <w:rPr>
        <w:rFonts w:ascii="Courier New" w:hAnsi="Courier New" w:hint="default"/>
      </w:rPr>
    </w:lvl>
    <w:lvl w:ilvl="5" w:tplc="8AC8BB2C">
      <w:start w:val="1"/>
      <w:numFmt w:val="bullet"/>
      <w:lvlText w:val=""/>
      <w:lvlJc w:val="left"/>
      <w:pPr>
        <w:ind w:left="4320" w:hanging="360"/>
      </w:pPr>
      <w:rPr>
        <w:rFonts w:ascii="Wingdings" w:hAnsi="Wingdings" w:hint="default"/>
      </w:rPr>
    </w:lvl>
    <w:lvl w:ilvl="6" w:tplc="F73ECD2C">
      <w:start w:val="1"/>
      <w:numFmt w:val="bullet"/>
      <w:lvlText w:val=""/>
      <w:lvlJc w:val="left"/>
      <w:pPr>
        <w:ind w:left="5040" w:hanging="360"/>
      </w:pPr>
      <w:rPr>
        <w:rFonts w:ascii="Symbol" w:hAnsi="Symbol" w:hint="default"/>
      </w:rPr>
    </w:lvl>
    <w:lvl w:ilvl="7" w:tplc="BC6CEF2C">
      <w:start w:val="1"/>
      <w:numFmt w:val="bullet"/>
      <w:lvlText w:val="o"/>
      <w:lvlJc w:val="left"/>
      <w:pPr>
        <w:ind w:left="5760" w:hanging="360"/>
      </w:pPr>
      <w:rPr>
        <w:rFonts w:ascii="Courier New" w:hAnsi="Courier New" w:hint="default"/>
      </w:rPr>
    </w:lvl>
    <w:lvl w:ilvl="8" w:tplc="14043234">
      <w:start w:val="1"/>
      <w:numFmt w:val="bullet"/>
      <w:lvlText w:val=""/>
      <w:lvlJc w:val="left"/>
      <w:pPr>
        <w:ind w:left="6480" w:hanging="360"/>
      </w:pPr>
      <w:rPr>
        <w:rFonts w:ascii="Wingdings" w:hAnsi="Wingdings" w:hint="default"/>
      </w:rPr>
    </w:lvl>
  </w:abstractNum>
  <w:abstractNum w:abstractNumId="12" w15:restartNumberingAfterBreak="0">
    <w:nsid w:val="62EE14B3"/>
    <w:multiLevelType w:val="multilevel"/>
    <w:tmpl w:val="ADBA2C7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05"/>
        </w:tabs>
        <w:ind w:left="705" w:hanging="705"/>
      </w:pPr>
      <w:rPr>
        <w:rFonts w:ascii="Times New Roman" w:hAnsi="Times New Roman" w:cs="Times New Roman" w:hint="default"/>
        <w:sz w:val="22"/>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3" w15:restartNumberingAfterBreak="0">
    <w:nsid w:val="6656423B"/>
    <w:multiLevelType w:val="multilevel"/>
    <w:tmpl w:val="0F8A6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6"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E014810"/>
    <w:multiLevelType w:val="hybridMultilevel"/>
    <w:tmpl w:val="B2D2AB54"/>
    <w:lvl w:ilvl="0" w:tplc="3E42FD16">
      <w:start w:val="1"/>
      <w:numFmt w:val="decimal"/>
      <w:lvlText w:val="%1."/>
      <w:lvlJc w:val="left"/>
      <w:pPr>
        <w:ind w:left="720" w:hanging="360"/>
      </w:pPr>
    </w:lvl>
    <w:lvl w:ilvl="1" w:tplc="ECE6BD8C">
      <w:start w:val="1"/>
      <w:numFmt w:val="lowerLetter"/>
      <w:lvlText w:val="%2."/>
      <w:lvlJc w:val="left"/>
      <w:pPr>
        <w:ind w:left="1440" w:hanging="360"/>
      </w:pPr>
    </w:lvl>
    <w:lvl w:ilvl="2" w:tplc="18640E90">
      <w:start w:val="1"/>
      <w:numFmt w:val="lowerRoman"/>
      <w:lvlText w:val="%3."/>
      <w:lvlJc w:val="right"/>
      <w:pPr>
        <w:ind w:left="2160" w:hanging="180"/>
      </w:pPr>
    </w:lvl>
    <w:lvl w:ilvl="3" w:tplc="23444498">
      <w:start w:val="1"/>
      <w:numFmt w:val="decimal"/>
      <w:lvlText w:val="%4."/>
      <w:lvlJc w:val="left"/>
      <w:pPr>
        <w:ind w:left="2880" w:hanging="360"/>
      </w:pPr>
    </w:lvl>
    <w:lvl w:ilvl="4" w:tplc="E30C03BC">
      <w:start w:val="1"/>
      <w:numFmt w:val="lowerLetter"/>
      <w:lvlText w:val="%5."/>
      <w:lvlJc w:val="left"/>
      <w:pPr>
        <w:ind w:left="3600" w:hanging="360"/>
      </w:pPr>
    </w:lvl>
    <w:lvl w:ilvl="5" w:tplc="A2FC1998">
      <w:start w:val="1"/>
      <w:numFmt w:val="lowerRoman"/>
      <w:lvlText w:val="%6."/>
      <w:lvlJc w:val="right"/>
      <w:pPr>
        <w:ind w:left="4320" w:hanging="180"/>
      </w:pPr>
    </w:lvl>
    <w:lvl w:ilvl="6" w:tplc="641E6156">
      <w:start w:val="1"/>
      <w:numFmt w:val="decimal"/>
      <w:lvlText w:val="%7."/>
      <w:lvlJc w:val="left"/>
      <w:pPr>
        <w:ind w:left="5040" w:hanging="360"/>
      </w:pPr>
    </w:lvl>
    <w:lvl w:ilvl="7" w:tplc="BC582450">
      <w:start w:val="1"/>
      <w:numFmt w:val="lowerLetter"/>
      <w:lvlText w:val="%8."/>
      <w:lvlJc w:val="left"/>
      <w:pPr>
        <w:ind w:left="5760" w:hanging="360"/>
      </w:pPr>
    </w:lvl>
    <w:lvl w:ilvl="8" w:tplc="997A75BE">
      <w:start w:val="1"/>
      <w:numFmt w:val="lowerRoman"/>
      <w:lvlText w:val="%9."/>
      <w:lvlJc w:val="right"/>
      <w:pPr>
        <w:ind w:left="6480" w:hanging="180"/>
      </w:pPr>
    </w:lvl>
  </w:abstractNum>
  <w:num w:numId="1">
    <w:abstractNumId w:val="17"/>
  </w:num>
  <w:num w:numId="2">
    <w:abstractNumId w:val="8"/>
  </w:num>
  <w:num w:numId="3">
    <w:abstractNumId w:val="11"/>
  </w:num>
  <w:num w:numId="4">
    <w:abstractNumId w:val="15"/>
  </w:num>
  <w:num w:numId="5">
    <w:abstractNumId w:val="2"/>
  </w:num>
  <w:num w:numId="6">
    <w:abstractNumId w:val="10"/>
  </w:num>
  <w:num w:numId="7">
    <w:abstractNumId w:val="14"/>
  </w:num>
  <w:num w:numId="8">
    <w:abstractNumId w:val="9"/>
  </w:num>
  <w:num w:numId="9">
    <w:abstractNumId w:val="1"/>
  </w:num>
  <w:num w:numId="10">
    <w:abstractNumId w:val="16"/>
  </w:num>
  <w:num w:numId="11">
    <w:abstractNumId w:val="0"/>
  </w:num>
  <w:num w:numId="12">
    <w:abstractNumId w:val="6"/>
  </w:num>
  <w:num w:numId="13">
    <w:abstractNumId w:val="7"/>
  </w:num>
  <w:num w:numId="14">
    <w:abstractNumId w:val="4"/>
  </w:num>
  <w:num w:numId="15">
    <w:abstractNumId w:val="12"/>
  </w:num>
  <w:num w:numId="16">
    <w:abstractNumId w:val="13"/>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13C1D"/>
    <w:rsid w:val="00015666"/>
    <w:rsid w:val="000223A6"/>
    <w:rsid w:val="000242B0"/>
    <w:rsid w:val="00032B92"/>
    <w:rsid w:val="00032C85"/>
    <w:rsid w:val="0006103E"/>
    <w:rsid w:val="000710CF"/>
    <w:rsid w:val="0007199C"/>
    <w:rsid w:val="00075078"/>
    <w:rsid w:val="00075FDB"/>
    <w:rsid w:val="00083316"/>
    <w:rsid w:val="0008523A"/>
    <w:rsid w:val="0009681A"/>
    <w:rsid w:val="00096BCC"/>
    <w:rsid w:val="000A1EA1"/>
    <w:rsid w:val="000A4456"/>
    <w:rsid w:val="000A5125"/>
    <w:rsid w:val="000A6201"/>
    <w:rsid w:val="000A6EC5"/>
    <w:rsid w:val="000B1338"/>
    <w:rsid w:val="000B6379"/>
    <w:rsid w:val="000C28DD"/>
    <w:rsid w:val="000C3372"/>
    <w:rsid w:val="000C44CD"/>
    <w:rsid w:val="000C6BCF"/>
    <w:rsid w:val="000D0C44"/>
    <w:rsid w:val="000D2C1F"/>
    <w:rsid w:val="000E2E1D"/>
    <w:rsid w:val="000F5446"/>
    <w:rsid w:val="00100F11"/>
    <w:rsid w:val="0010178E"/>
    <w:rsid w:val="001046B7"/>
    <w:rsid w:val="001106AB"/>
    <w:rsid w:val="00117426"/>
    <w:rsid w:val="00124750"/>
    <w:rsid w:val="00127A53"/>
    <w:rsid w:val="00135CA4"/>
    <w:rsid w:val="00142BA0"/>
    <w:rsid w:val="00147E3E"/>
    <w:rsid w:val="0016226E"/>
    <w:rsid w:val="00164673"/>
    <w:rsid w:val="0016729D"/>
    <w:rsid w:val="00174E9F"/>
    <w:rsid w:val="001758D6"/>
    <w:rsid w:val="00176E2C"/>
    <w:rsid w:val="001779E1"/>
    <w:rsid w:val="001823D0"/>
    <w:rsid w:val="00182668"/>
    <w:rsid w:val="001920FE"/>
    <w:rsid w:val="001949F0"/>
    <w:rsid w:val="001A20AC"/>
    <w:rsid w:val="001C461A"/>
    <w:rsid w:val="001D1751"/>
    <w:rsid w:val="001E203E"/>
    <w:rsid w:val="001E2E6B"/>
    <w:rsid w:val="001E5EB5"/>
    <w:rsid w:val="001F0736"/>
    <w:rsid w:val="001F13B1"/>
    <w:rsid w:val="001F1ECD"/>
    <w:rsid w:val="001F59CF"/>
    <w:rsid w:val="0020003F"/>
    <w:rsid w:val="00204C18"/>
    <w:rsid w:val="00214B6F"/>
    <w:rsid w:val="00222608"/>
    <w:rsid w:val="00226EA6"/>
    <w:rsid w:val="00232A0C"/>
    <w:rsid w:val="0023326C"/>
    <w:rsid w:val="002461C3"/>
    <w:rsid w:val="00257CE6"/>
    <w:rsid w:val="002620F0"/>
    <w:rsid w:val="002724ED"/>
    <w:rsid w:val="0028351D"/>
    <w:rsid w:val="00286120"/>
    <w:rsid w:val="002B03F4"/>
    <w:rsid w:val="002B25C2"/>
    <w:rsid w:val="002C6F3F"/>
    <w:rsid w:val="002D4810"/>
    <w:rsid w:val="002E18EB"/>
    <w:rsid w:val="002F07F1"/>
    <w:rsid w:val="002F61DD"/>
    <w:rsid w:val="002F67B1"/>
    <w:rsid w:val="002F6B64"/>
    <w:rsid w:val="003045A8"/>
    <w:rsid w:val="00306CD6"/>
    <w:rsid w:val="0030720E"/>
    <w:rsid w:val="00310774"/>
    <w:rsid w:val="003227B0"/>
    <w:rsid w:val="003300AF"/>
    <w:rsid w:val="00336501"/>
    <w:rsid w:val="00343725"/>
    <w:rsid w:val="00352994"/>
    <w:rsid w:val="0035424C"/>
    <w:rsid w:val="00357602"/>
    <w:rsid w:val="00363B5B"/>
    <w:rsid w:val="00363C8C"/>
    <w:rsid w:val="00370A0A"/>
    <w:rsid w:val="00373B2B"/>
    <w:rsid w:val="003777FB"/>
    <w:rsid w:val="00382D6E"/>
    <w:rsid w:val="00394EA1"/>
    <w:rsid w:val="003A40D7"/>
    <w:rsid w:val="003B7676"/>
    <w:rsid w:val="003C5145"/>
    <w:rsid w:val="003E3BA5"/>
    <w:rsid w:val="003F176A"/>
    <w:rsid w:val="003F1849"/>
    <w:rsid w:val="003F7667"/>
    <w:rsid w:val="00401C18"/>
    <w:rsid w:val="00404EE0"/>
    <w:rsid w:val="0040647D"/>
    <w:rsid w:val="00416132"/>
    <w:rsid w:val="00416DB7"/>
    <w:rsid w:val="0042180A"/>
    <w:rsid w:val="00421BF7"/>
    <w:rsid w:val="00423CD0"/>
    <w:rsid w:val="0042421A"/>
    <w:rsid w:val="00425270"/>
    <w:rsid w:val="00436CF9"/>
    <w:rsid w:val="00437AF6"/>
    <w:rsid w:val="004403C6"/>
    <w:rsid w:val="00445231"/>
    <w:rsid w:val="00453521"/>
    <w:rsid w:val="004551D8"/>
    <w:rsid w:val="0045615E"/>
    <w:rsid w:val="004617B1"/>
    <w:rsid w:val="0046625A"/>
    <w:rsid w:val="0047632B"/>
    <w:rsid w:val="00482A73"/>
    <w:rsid w:val="0049699F"/>
    <w:rsid w:val="004A03E6"/>
    <w:rsid w:val="004A135E"/>
    <w:rsid w:val="004B2DE7"/>
    <w:rsid w:val="004C2AD2"/>
    <w:rsid w:val="004C3600"/>
    <w:rsid w:val="004C3802"/>
    <w:rsid w:val="004C7A3D"/>
    <w:rsid w:val="004D0C7F"/>
    <w:rsid w:val="004F72BC"/>
    <w:rsid w:val="00500B34"/>
    <w:rsid w:val="005016C2"/>
    <w:rsid w:val="00522D67"/>
    <w:rsid w:val="00526717"/>
    <w:rsid w:val="00536A2C"/>
    <w:rsid w:val="00536C5C"/>
    <w:rsid w:val="00536CAD"/>
    <w:rsid w:val="00543CED"/>
    <w:rsid w:val="00551ABB"/>
    <w:rsid w:val="00561A75"/>
    <w:rsid w:val="00563187"/>
    <w:rsid w:val="00576D9A"/>
    <w:rsid w:val="00581570"/>
    <w:rsid w:val="00590120"/>
    <w:rsid w:val="005902C3"/>
    <w:rsid w:val="00595F9A"/>
    <w:rsid w:val="005A0138"/>
    <w:rsid w:val="005A3691"/>
    <w:rsid w:val="005A6139"/>
    <w:rsid w:val="005B0128"/>
    <w:rsid w:val="005B2B51"/>
    <w:rsid w:val="005D758A"/>
    <w:rsid w:val="005E58CF"/>
    <w:rsid w:val="005F425C"/>
    <w:rsid w:val="0060561C"/>
    <w:rsid w:val="006168CB"/>
    <w:rsid w:val="00621342"/>
    <w:rsid w:val="006221D4"/>
    <w:rsid w:val="00627B21"/>
    <w:rsid w:val="006316DC"/>
    <w:rsid w:val="006376B0"/>
    <w:rsid w:val="00641988"/>
    <w:rsid w:val="006447E7"/>
    <w:rsid w:val="00654E62"/>
    <w:rsid w:val="00662AA5"/>
    <w:rsid w:val="0066459B"/>
    <w:rsid w:val="00664C4E"/>
    <w:rsid w:val="00665FC2"/>
    <w:rsid w:val="006666F3"/>
    <w:rsid w:val="00671767"/>
    <w:rsid w:val="006732F7"/>
    <w:rsid w:val="0068312E"/>
    <w:rsid w:val="006831E5"/>
    <w:rsid w:val="006906FD"/>
    <w:rsid w:val="00691A0C"/>
    <w:rsid w:val="006959FF"/>
    <w:rsid w:val="006A18E3"/>
    <w:rsid w:val="006A39F4"/>
    <w:rsid w:val="006C2535"/>
    <w:rsid w:val="006C2E2C"/>
    <w:rsid w:val="006D0ADA"/>
    <w:rsid w:val="006E7ECB"/>
    <w:rsid w:val="00700CA5"/>
    <w:rsid w:val="007011D8"/>
    <w:rsid w:val="00720760"/>
    <w:rsid w:val="007231A3"/>
    <w:rsid w:val="007312EA"/>
    <w:rsid w:val="007411CD"/>
    <w:rsid w:val="00741390"/>
    <w:rsid w:val="00741AC4"/>
    <w:rsid w:val="0075357A"/>
    <w:rsid w:val="00760EDA"/>
    <w:rsid w:val="00774774"/>
    <w:rsid w:val="0078089A"/>
    <w:rsid w:val="007A2AAC"/>
    <w:rsid w:val="007A5F77"/>
    <w:rsid w:val="007B1D99"/>
    <w:rsid w:val="007B41AD"/>
    <w:rsid w:val="007B50A5"/>
    <w:rsid w:val="007B6F1A"/>
    <w:rsid w:val="007E1736"/>
    <w:rsid w:val="007E1EF8"/>
    <w:rsid w:val="007E67C9"/>
    <w:rsid w:val="007F32A8"/>
    <w:rsid w:val="007F6B84"/>
    <w:rsid w:val="0081752E"/>
    <w:rsid w:val="00820246"/>
    <w:rsid w:val="00821543"/>
    <w:rsid w:val="00833335"/>
    <w:rsid w:val="00834FD8"/>
    <w:rsid w:val="00835C5A"/>
    <w:rsid w:val="00836233"/>
    <w:rsid w:val="00836442"/>
    <w:rsid w:val="00842090"/>
    <w:rsid w:val="008451DA"/>
    <w:rsid w:val="00852D7A"/>
    <w:rsid w:val="00872F2A"/>
    <w:rsid w:val="00877C2A"/>
    <w:rsid w:val="008C6C3E"/>
    <w:rsid w:val="008D2BE2"/>
    <w:rsid w:val="008D3670"/>
    <w:rsid w:val="008E1B3C"/>
    <w:rsid w:val="008E7E6C"/>
    <w:rsid w:val="008F07F2"/>
    <w:rsid w:val="00900B77"/>
    <w:rsid w:val="00902212"/>
    <w:rsid w:val="00902E93"/>
    <w:rsid w:val="00907AD6"/>
    <w:rsid w:val="00913757"/>
    <w:rsid w:val="00913F3A"/>
    <w:rsid w:val="00922AE5"/>
    <w:rsid w:val="00925352"/>
    <w:rsid w:val="00931CCC"/>
    <w:rsid w:val="00935D2D"/>
    <w:rsid w:val="0093660B"/>
    <w:rsid w:val="00937ED7"/>
    <w:rsid w:val="00951990"/>
    <w:rsid w:val="00955CFC"/>
    <w:rsid w:val="00957704"/>
    <w:rsid w:val="0096124D"/>
    <w:rsid w:val="0096258D"/>
    <w:rsid w:val="00963E14"/>
    <w:rsid w:val="00975586"/>
    <w:rsid w:val="00975F20"/>
    <w:rsid w:val="00981BBC"/>
    <w:rsid w:val="0098556F"/>
    <w:rsid w:val="009874BD"/>
    <w:rsid w:val="009A3C0D"/>
    <w:rsid w:val="009A5030"/>
    <w:rsid w:val="009C1302"/>
    <w:rsid w:val="009C5196"/>
    <w:rsid w:val="009D395D"/>
    <w:rsid w:val="00A0362D"/>
    <w:rsid w:val="00A23532"/>
    <w:rsid w:val="00A24091"/>
    <w:rsid w:val="00A36871"/>
    <w:rsid w:val="00A42DFC"/>
    <w:rsid w:val="00A461CB"/>
    <w:rsid w:val="00A4648C"/>
    <w:rsid w:val="00A47508"/>
    <w:rsid w:val="00A579FB"/>
    <w:rsid w:val="00A6301C"/>
    <w:rsid w:val="00A817BB"/>
    <w:rsid w:val="00A86137"/>
    <w:rsid w:val="00A87E3A"/>
    <w:rsid w:val="00A92059"/>
    <w:rsid w:val="00A94498"/>
    <w:rsid w:val="00A96133"/>
    <w:rsid w:val="00A976B0"/>
    <w:rsid w:val="00AA32C9"/>
    <w:rsid w:val="00AA4A1C"/>
    <w:rsid w:val="00AA5316"/>
    <w:rsid w:val="00AB25D7"/>
    <w:rsid w:val="00AB6993"/>
    <w:rsid w:val="00AC10CD"/>
    <w:rsid w:val="00AD171B"/>
    <w:rsid w:val="00AD76A9"/>
    <w:rsid w:val="00AE2EB7"/>
    <w:rsid w:val="00AE4ECC"/>
    <w:rsid w:val="00B06CD3"/>
    <w:rsid w:val="00B1531D"/>
    <w:rsid w:val="00B20492"/>
    <w:rsid w:val="00B452C2"/>
    <w:rsid w:val="00B7166D"/>
    <w:rsid w:val="00B71CE9"/>
    <w:rsid w:val="00B81FA4"/>
    <w:rsid w:val="00B84A7D"/>
    <w:rsid w:val="00B91A17"/>
    <w:rsid w:val="00B94A2C"/>
    <w:rsid w:val="00B95AAF"/>
    <w:rsid w:val="00B969BC"/>
    <w:rsid w:val="00BA1399"/>
    <w:rsid w:val="00BA33C0"/>
    <w:rsid w:val="00BA6E49"/>
    <w:rsid w:val="00BE761E"/>
    <w:rsid w:val="00BF1B02"/>
    <w:rsid w:val="00BF7ECA"/>
    <w:rsid w:val="00C10CAF"/>
    <w:rsid w:val="00C1339B"/>
    <w:rsid w:val="00C160C2"/>
    <w:rsid w:val="00C243DB"/>
    <w:rsid w:val="00C33763"/>
    <w:rsid w:val="00C35C49"/>
    <w:rsid w:val="00C46EC2"/>
    <w:rsid w:val="00C57039"/>
    <w:rsid w:val="00C6519C"/>
    <w:rsid w:val="00C67E8F"/>
    <w:rsid w:val="00C718E1"/>
    <w:rsid w:val="00C77869"/>
    <w:rsid w:val="00C862E0"/>
    <w:rsid w:val="00C92392"/>
    <w:rsid w:val="00C973B0"/>
    <w:rsid w:val="00CA38FF"/>
    <w:rsid w:val="00CB59E3"/>
    <w:rsid w:val="00CB62DC"/>
    <w:rsid w:val="00CC327F"/>
    <w:rsid w:val="00CD0B55"/>
    <w:rsid w:val="00CD12B7"/>
    <w:rsid w:val="00CE016B"/>
    <w:rsid w:val="00CE144A"/>
    <w:rsid w:val="00CE548D"/>
    <w:rsid w:val="00CE5810"/>
    <w:rsid w:val="00CE79CB"/>
    <w:rsid w:val="00CF3781"/>
    <w:rsid w:val="00CF6D30"/>
    <w:rsid w:val="00D02C10"/>
    <w:rsid w:val="00D0308D"/>
    <w:rsid w:val="00D05D45"/>
    <w:rsid w:val="00D2220B"/>
    <w:rsid w:val="00D34E50"/>
    <w:rsid w:val="00D363C2"/>
    <w:rsid w:val="00D40C57"/>
    <w:rsid w:val="00D43965"/>
    <w:rsid w:val="00D56033"/>
    <w:rsid w:val="00D60CA6"/>
    <w:rsid w:val="00D778D5"/>
    <w:rsid w:val="00D873CE"/>
    <w:rsid w:val="00D87BE3"/>
    <w:rsid w:val="00D91725"/>
    <w:rsid w:val="00DB23AF"/>
    <w:rsid w:val="00DB3D39"/>
    <w:rsid w:val="00DD0D94"/>
    <w:rsid w:val="00DD2C2C"/>
    <w:rsid w:val="00DD3994"/>
    <w:rsid w:val="00DD4304"/>
    <w:rsid w:val="00DD7BE9"/>
    <w:rsid w:val="00DF17AB"/>
    <w:rsid w:val="00E01239"/>
    <w:rsid w:val="00E0260D"/>
    <w:rsid w:val="00E113A9"/>
    <w:rsid w:val="00E13351"/>
    <w:rsid w:val="00E16A25"/>
    <w:rsid w:val="00E16E16"/>
    <w:rsid w:val="00E262E3"/>
    <w:rsid w:val="00E35501"/>
    <w:rsid w:val="00E37FAD"/>
    <w:rsid w:val="00E424CC"/>
    <w:rsid w:val="00E52DA8"/>
    <w:rsid w:val="00E546AF"/>
    <w:rsid w:val="00E54876"/>
    <w:rsid w:val="00E5622A"/>
    <w:rsid w:val="00E650C2"/>
    <w:rsid w:val="00E72AC7"/>
    <w:rsid w:val="00E801C7"/>
    <w:rsid w:val="00E81F4D"/>
    <w:rsid w:val="00E83331"/>
    <w:rsid w:val="00E86CE3"/>
    <w:rsid w:val="00E93F3F"/>
    <w:rsid w:val="00EA0D49"/>
    <w:rsid w:val="00EB062F"/>
    <w:rsid w:val="00EB39D3"/>
    <w:rsid w:val="00EC1D72"/>
    <w:rsid w:val="00EC3336"/>
    <w:rsid w:val="00EC7C35"/>
    <w:rsid w:val="00ED07EC"/>
    <w:rsid w:val="00ED19FF"/>
    <w:rsid w:val="00ED1E9E"/>
    <w:rsid w:val="00ED2FBE"/>
    <w:rsid w:val="00EE3BC4"/>
    <w:rsid w:val="00EF383B"/>
    <w:rsid w:val="00F01951"/>
    <w:rsid w:val="00F1244F"/>
    <w:rsid w:val="00F22FC8"/>
    <w:rsid w:val="00F416EA"/>
    <w:rsid w:val="00F47B61"/>
    <w:rsid w:val="00F543F9"/>
    <w:rsid w:val="00F62B10"/>
    <w:rsid w:val="00F66211"/>
    <w:rsid w:val="00F66493"/>
    <w:rsid w:val="00F66701"/>
    <w:rsid w:val="00F66C23"/>
    <w:rsid w:val="00F828EF"/>
    <w:rsid w:val="00F92740"/>
    <w:rsid w:val="00F93AC0"/>
    <w:rsid w:val="00FA7B5D"/>
    <w:rsid w:val="00FB05E2"/>
    <w:rsid w:val="00FB48CD"/>
    <w:rsid w:val="00FD3395"/>
    <w:rsid w:val="00FD3D88"/>
    <w:rsid w:val="00FD55CC"/>
    <w:rsid w:val="00FE32AA"/>
    <w:rsid w:val="00FE3799"/>
    <w:rsid w:val="00FE43A8"/>
    <w:rsid w:val="00FE5CFF"/>
    <w:rsid w:val="00FE6C38"/>
    <w:rsid w:val="00FF2232"/>
    <w:rsid w:val="00FF36D4"/>
    <w:rsid w:val="00FF5B3A"/>
    <w:rsid w:val="00FF766A"/>
    <w:rsid w:val="012BAF5D"/>
    <w:rsid w:val="02042A12"/>
    <w:rsid w:val="05091663"/>
    <w:rsid w:val="0687A5D8"/>
    <w:rsid w:val="06F7D87A"/>
    <w:rsid w:val="072E03D0"/>
    <w:rsid w:val="08CA277A"/>
    <w:rsid w:val="0B45C081"/>
    <w:rsid w:val="0BC3C1B9"/>
    <w:rsid w:val="0D142848"/>
    <w:rsid w:val="0EA102D0"/>
    <w:rsid w:val="101A6AE1"/>
    <w:rsid w:val="1133DEA7"/>
    <w:rsid w:val="12ECB44B"/>
    <w:rsid w:val="1401991C"/>
    <w:rsid w:val="140BF23C"/>
    <w:rsid w:val="14ED6E89"/>
    <w:rsid w:val="15F1E73D"/>
    <w:rsid w:val="165EFE6A"/>
    <w:rsid w:val="193736E2"/>
    <w:rsid w:val="19797DE7"/>
    <w:rsid w:val="19A7B74F"/>
    <w:rsid w:val="1A41FB06"/>
    <w:rsid w:val="1B4EE656"/>
    <w:rsid w:val="1C342B4F"/>
    <w:rsid w:val="1C4B2115"/>
    <w:rsid w:val="1DC340F3"/>
    <w:rsid w:val="1DE19C87"/>
    <w:rsid w:val="1E2996BC"/>
    <w:rsid w:val="1F0CE10C"/>
    <w:rsid w:val="204267D6"/>
    <w:rsid w:val="213532E2"/>
    <w:rsid w:val="25DDE61E"/>
    <w:rsid w:val="27E146C6"/>
    <w:rsid w:val="2915CDAB"/>
    <w:rsid w:val="2B9C7C72"/>
    <w:rsid w:val="2BDA0DD4"/>
    <w:rsid w:val="2D32E96D"/>
    <w:rsid w:val="2E01E215"/>
    <w:rsid w:val="2E6A27B7"/>
    <w:rsid w:val="2EE75AE1"/>
    <w:rsid w:val="2EF0537A"/>
    <w:rsid w:val="31DB33A4"/>
    <w:rsid w:val="3257C614"/>
    <w:rsid w:val="3322EC36"/>
    <w:rsid w:val="35D32ED5"/>
    <w:rsid w:val="360DA888"/>
    <w:rsid w:val="36947196"/>
    <w:rsid w:val="36BF0216"/>
    <w:rsid w:val="39F87D7A"/>
    <w:rsid w:val="3B4F77AF"/>
    <w:rsid w:val="3C427D4F"/>
    <w:rsid w:val="3C672BE3"/>
    <w:rsid w:val="3F29CBFA"/>
    <w:rsid w:val="4262ADEB"/>
    <w:rsid w:val="43B56E84"/>
    <w:rsid w:val="445D6945"/>
    <w:rsid w:val="44888FCE"/>
    <w:rsid w:val="46341D18"/>
    <w:rsid w:val="471D33AB"/>
    <w:rsid w:val="4B6D8C84"/>
    <w:rsid w:val="4C687B2A"/>
    <w:rsid w:val="4D525A27"/>
    <w:rsid w:val="5140531E"/>
    <w:rsid w:val="52F977C3"/>
    <w:rsid w:val="57E3B363"/>
    <w:rsid w:val="5A11181D"/>
    <w:rsid w:val="5A53646C"/>
    <w:rsid w:val="5D8B052E"/>
    <w:rsid w:val="5DC33001"/>
    <w:rsid w:val="609A2898"/>
    <w:rsid w:val="61E0F623"/>
    <w:rsid w:val="625E7651"/>
    <w:rsid w:val="6343EF1D"/>
    <w:rsid w:val="63C87B0E"/>
    <w:rsid w:val="64955E65"/>
    <w:rsid w:val="65384A33"/>
    <w:rsid w:val="6775AF73"/>
    <w:rsid w:val="6CD1A354"/>
    <w:rsid w:val="6DD01BA2"/>
    <w:rsid w:val="6EC8E23E"/>
    <w:rsid w:val="7085DC38"/>
    <w:rsid w:val="70B944BC"/>
    <w:rsid w:val="71960E79"/>
    <w:rsid w:val="71B36450"/>
    <w:rsid w:val="739A57B4"/>
    <w:rsid w:val="74F41CE0"/>
    <w:rsid w:val="75552C6C"/>
    <w:rsid w:val="76ECE7A3"/>
    <w:rsid w:val="77288640"/>
    <w:rsid w:val="77617C1D"/>
    <w:rsid w:val="78E75E10"/>
    <w:rsid w:val="7B0AAC86"/>
    <w:rsid w:val="7D8763BA"/>
    <w:rsid w:val="7E7355CA"/>
    <w:rsid w:val="7EAD31FF"/>
    <w:rsid w:val="7F97023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B368E8"/>
  <w15:docId w15:val="{E31A2A97-FDF2-4D0D-9CCE-0C74322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1F59CF"/>
    <w:pPr>
      <w:keepNext/>
      <w:suppressAutoHyphens/>
      <w:spacing w:after="120"/>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
    <w:basedOn w:val="Normale"/>
    <w:link w:val="ParagrafoelencoCarattere"/>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
    <w:basedOn w:val="Carpredefinitoparagrafo"/>
    <w:link w:val="Paragrafoelenco"/>
    <w:uiPriority w:val="34"/>
    <w:rsid w:val="00C46EC2"/>
    <w:rPr>
      <w:sz w:val="24"/>
    </w:rPr>
  </w:style>
  <w:style w:type="paragraph" w:customStyle="1" w:styleId="Contenutocornice">
    <w:name w:val="Contenuto cornice"/>
    <w:basedOn w:val="Corpotesto"/>
    <w:qFormat/>
    <w:rsid w:val="00671767"/>
    <w:pPr>
      <w:suppressAutoHyphens/>
    </w:pPr>
    <w:rPr>
      <w:sz w:val="20"/>
      <w:lang w:eastAsia="ar-SA"/>
    </w:rPr>
  </w:style>
  <w:style w:type="paragraph" w:customStyle="1" w:styleId="Contenutotabella">
    <w:name w:val="Contenuto tabella"/>
    <w:basedOn w:val="Normale"/>
    <w:qFormat/>
    <w:rsid w:val="00671767"/>
    <w:pPr>
      <w:suppressLineNumbers/>
      <w:suppressAutoHyphens/>
    </w:pPr>
    <w:rPr>
      <w:sz w:val="20"/>
      <w:lang w:eastAsia="ar-SA"/>
    </w:rPr>
  </w:style>
  <w:style w:type="paragraph" w:customStyle="1" w:styleId="Standard">
    <w:name w:val="Standard"/>
    <w:qFormat/>
    <w:rsid w:val="00671767"/>
    <w:pPr>
      <w:suppressAutoHyphens/>
      <w:jc w:val="both"/>
      <w:textAlignment w:val="baseline"/>
    </w:pPr>
    <w:rPr>
      <w:rFonts w:ascii="Arial" w:eastAsia="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4581">
      <w:bodyDiv w:val="1"/>
      <w:marLeft w:val="0"/>
      <w:marRight w:val="0"/>
      <w:marTop w:val="0"/>
      <w:marBottom w:val="0"/>
      <w:divBdr>
        <w:top w:val="none" w:sz="0" w:space="0" w:color="auto"/>
        <w:left w:val="none" w:sz="0" w:space="0" w:color="auto"/>
        <w:bottom w:val="none" w:sz="0" w:space="0" w:color="auto"/>
        <w:right w:val="none" w:sz="0" w:space="0" w:color="auto"/>
      </w:divBdr>
    </w:div>
    <w:div w:id="1010568592">
      <w:bodyDiv w:val="1"/>
      <w:marLeft w:val="0"/>
      <w:marRight w:val="0"/>
      <w:marTop w:val="0"/>
      <w:marBottom w:val="0"/>
      <w:divBdr>
        <w:top w:val="none" w:sz="0" w:space="0" w:color="auto"/>
        <w:left w:val="none" w:sz="0" w:space="0" w:color="auto"/>
        <w:bottom w:val="none" w:sz="0" w:space="0" w:color="auto"/>
        <w:right w:val="none" w:sz="0" w:space="0" w:color="auto"/>
      </w:divBdr>
      <w:divsChild>
        <w:div w:id="1580602311">
          <w:marLeft w:val="0"/>
          <w:marRight w:val="0"/>
          <w:marTop w:val="0"/>
          <w:marBottom w:val="0"/>
          <w:divBdr>
            <w:top w:val="none" w:sz="0" w:space="0" w:color="auto"/>
            <w:left w:val="none" w:sz="0" w:space="0" w:color="auto"/>
            <w:bottom w:val="none" w:sz="0" w:space="0" w:color="auto"/>
            <w:right w:val="none" w:sz="0" w:space="0" w:color="auto"/>
          </w:divBdr>
        </w:div>
      </w:divsChild>
    </w:div>
    <w:div w:id="1113288306">
      <w:bodyDiv w:val="1"/>
      <w:marLeft w:val="0"/>
      <w:marRight w:val="0"/>
      <w:marTop w:val="0"/>
      <w:marBottom w:val="0"/>
      <w:divBdr>
        <w:top w:val="none" w:sz="0" w:space="0" w:color="auto"/>
        <w:left w:val="none" w:sz="0" w:space="0" w:color="auto"/>
        <w:bottom w:val="none" w:sz="0" w:space="0" w:color="auto"/>
        <w:right w:val="none" w:sz="0" w:space="0" w:color="auto"/>
      </w:divBdr>
    </w:div>
    <w:div w:id="1254314804">
      <w:bodyDiv w:val="1"/>
      <w:marLeft w:val="0"/>
      <w:marRight w:val="0"/>
      <w:marTop w:val="0"/>
      <w:marBottom w:val="0"/>
      <w:divBdr>
        <w:top w:val="none" w:sz="0" w:space="0" w:color="auto"/>
        <w:left w:val="none" w:sz="0" w:space="0" w:color="auto"/>
        <w:bottom w:val="none" w:sz="0" w:space="0" w:color="auto"/>
        <w:right w:val="none" w:sz="0" w:space="0" w:color="auto"/>
      </w:divBdr>
      <w:divsChild>
        <w:div w:id="6689933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EBCE7D8C483B4F8C555ACA9A13265B" ma:contentTypeVersion="2" ma:contentTypeDescription="Creare un nuovo documento." ma:contentTypeScope="" ma:versionID="c246e9303eac88b8fa4a250d6dbb05c7">
  <xsd:schema xmlns:xsd="http://www.w3.org/2001/XMLSchema" xmlns:xs="http://www.w3.org/2001/XMLSchema" xmlns:p="http://schemas.microsoft.com/office/2006/metadata/properties" xmlns:ns2="5c10da2b-ab49-4479-80cb-cc5a97f6c03b" targetNamespace="http://schemas.microsoft.com/office/2006/metadata/properties" ma:root="true" ma:fieldsID="d9cffdc16e57efaf09c335c982eab900" ns2:_="">
    <xsd:import namespace="5c10da2b-ab49-4479-80cb-cc5a97f6c0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0da2b-ab49-4479-80cb-cc5a97f6c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239A5-8091-4DD6-B170-DF3EE72E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0da2b-ab49-4479-80cb-cc5a97f6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3.xml><?xml version="1.0" encoding="utf-8"?>
<ds:datastoreItem xmlns:ds="http://schemas.openxmlformats.org/officeDocument/2006/customXml" ds:itemID="{88897BBF-59D3-4E9E-8EBA-1A1FE8F00EFF}">
  <ds:schemaRefs>
    <ds:schemaRef ds:uri="http://schemas.openxmlformats.org/officeDocument/2006/bibliography"/>
  </ds:schemaRefs>
</ds:datastoreItem>
</file>

<file path=customXml/itemProps4.xml><?xml version="1.0" encoding="utf-8"?>
<ds:datastoreItem xmlns:ds="http://schemas.openxmlformats.org/officeDocument/2006/customXml" ds:itemID="{1DC54A15-BF41-4565-B26E-C856351F2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1928</Words>
  <Characters>10992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dc:description/>
  <cp:lastModifiedBy>ROZZI Liberina 1209</cp:lastModifiedBy>
  <cp:revision>8</cp:revision>
  <cp:lastPrinted>2019-06-21T11:04:00Z</cp:lastPrinted>
  <dcterms:created xsi:type="dcterms:W3CDTF">2021-11-19T13:52:00Z</dcterms:created>
  <dcterms:modified xsi:type="dcterms:W3CDTF">2022-01-18T10:42:00Z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0x01010093EBCE7D8C483B4F8C555ACA9A13265B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