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FDE2B" w14:textId="77777777" w:rsidR="00F62B10" w:rsidRDefault="00F62B10">
      <w:pPr>
        <w:jc w:val="center"/>
        <w:rPr>
          <w:b/>
        </w:rPr>
      </w:pPr>
    </w:p>
    <w:p w14:paraId="678B06AA" w14:textId="77777777" w:rsidR="00F62B10" w:rsidRDefault="00F62B10">
      <w:pPr>
        <w:jc w:val="center"/>
        <w:rPr>
          <w:b/>
        </w:rPr>
      </w:pPr>
    </w:p>
    <w:p w14:paraId="5B8B88F0" w14:textId="77777777" w:rsidR="00F62B10" w:rsidRDefault="00F62B10">
      <w:pPr>
        <w:jc w:val="center"/>
        <w:rPr>
          <w:b/>
        </w:rPr>
      </w:pPr>
    </w:p>
    <w:p w14:paraId="13114F95" w14:textId="77777777" w:rsidR="00F62B10" w:rsidRDefault="008451DA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CSI PIEMONTE</w:t>
      </w:r>
    </w:p>
    <w:p w14:paraId="1A26CC4A" w14:textId="77777777" w:rsidR="00F62B10" w:rsidRDefault="00F62B10">
      <w:pPr>
        <w:jc w:val="center"/>
        <w:rPr>
          <w:b/>
          <w:caps/>
          <w:sz w:val="40"/>
        </w:rPr>
      </w:pPr>
    </w:p>
    <w:p w14:paraId="5D77FF75" w14:textId="77777777" w:rsidR="00F62B10" w:rsidRDefault="008451DA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 xml:space="preserve"> </w:t>
      </w:r>
    </w:p>
    <w:p w14:paraId="5F901DC5" w14:textId="0E584D05" w:rsidR="00F62B10" w:rsidRDefault="005E21DC">
      <w:pPr>
        <w:tabs>
          <w:tab w:val="left" w:pos="602"/>
        </w:tabs>
        <w:spacing w:before="120" w:after="120"/>
        <w:jc w:val="center"/>
        <w:rPr>
          <w:b/>
          <w:lang w:eastAsia="en-US"/>
        </w:rPr>
      </w:pPr>
      <w:r>
        <w:rPr>
          <w:b/>
          <w:caps/>
          <w:sz w:val="40"/>
        </w:rPr>
        <w:t>soluzione</w:t>
      </w:r>
      <w:r w:rsidR="008451DA">
        <w:rPr>
          <w:b/>
          <w:caps/>
          <w:sz w:val="40"/>
        </w:rPr>
        <w:t xml:space="preserve"> </w:t>
      </w:r>
      <w:r w:rsidR="00654F3C">
        <w:rPr>
          <w:b/>
          <w:caps/>
          <w:sz w:val="40"/>
        </w:rPr>
        <w:t xml:space="preserve">SOFTWARE </w:t>
      </w:r>
      <w:r w:rsidR="008451DA">
        <w:rPr>
          <w:b/>
          <w:caps/>
          <w:sz w:val="40"/>
        </w:rPr>
        <w:t>di</w:t>
      </w:r>
      <w:r w:rsidR="004C01C6">
        <w:rPr>
          <w:b/>
          <w:caps/>
          <w:sz w:val="40"/>
        </w:rPr>
        <w:t xml:space="preserve"> </w:t>
      </w:r>
      <w:r w:rsidR="004204D8">
        <w:rPr>
          <w:b/>
          <w:caps/>
          <w:sz w:val="40"/>
        </w:rPr>
        <w:t>posto operatore voip SIP</w:t>
      </w:r>
      <w:r w:rsidR="004C01C6">
        <w:rPr>
          <w:b/>
          <w:caps/>
          <w:sz w:val="40"/>
        </w:rPr>
        <w:t xml:space="preserve"> </w:t>
      </w:r>
      <w:r w:rsidR="00A97B8A">
        <w:rPr>
          <w:b/>
          <w:caps/>
          <w:sz w:val="40"/>
        </w:rPr>
        <w:t>CON</w:t>
      </w:r>
      <w:r w:rsidR="00B0647A">
        <w:rPr>
          <w:b/>
          <w:caps/>
          <w:sz w:val="40"/>
        </w:rPr>
        <w:t xml:space="preserve"> GESTIONE</w:t>
      </w:r>
      <w:r w:rsidR="004C01C6">
        <w:rPr>
          <w:b/>
          <w:caps/>
          <w:sz w:val="40"/>
        </w:rPr>
        <w:t xml:space="preserve"> </w:t>
      </w:r>
      <w:r w:rsidR="00A97B8A">
        <w:rPr>
          <w:b/>
          <w:caps/>
          <w:sz w:val="40"/>
        </w:rPr>
        <w:t>CODE DI CHIAM</w:t>
      </w:r>
      <w:r w:rsidR="00654F3C">
        <w:rPr>
          <w:b/>
          <w:caps/>
          <w:sz w:val="40"/>
        </w:rPr>
        <w:t>A</w:t>
      </w:r>
      <w:r w:rsidR="00A97B8A">
        <w:rPr>
          <w:b/>
          <w:caps/>
          <w:sz w:val="40"/>
        </w:rPr>
        <w:t>T</w:t>
      </w:r>
      <w:r w:rsidR="00B0647A">
        <w:rPr>
          <w:b/>
          <w:caps/>
          <w:sz w:val="40"/>
        </w:rPr>
        <w:t>A</w:t>
      </w:r>
    </w:p>
    <w:p w14:paraId="36D2E87B" w14:textId="77777777" w:rsidR="00F62B10" w:rsidRDefault="00F62B10">
      <w:pPr>
        <w:jc w:val="center"/>
        <w:rPr>
          <w:b/>
          <w:sz w:val="40"/>
        </w:rPr>
      </w:pPr>
    </w:p>
    <w:p w14:paraId="542D8F53" w14:textId="77777777" w:rsidR="00F62B10" w:rsidRDefault="00F62B10">
      <w:pPr>
        <w:jc w:val="center"/>
        <w:rPr>
          <w:b/>
          <w:sz w:val="40"/>
        </w:rPr>
      </w:pPr>
    </w:p>
    <w:p w14:paraId="72E0386B" w14:textId="77777777" w:rsidR="00F62B10" w:rsidRDefault="008451DA">
      <w:pPr>
        <w:jc w:val="center"/>
        <w:rPr>
          <w:b/>
          <w:sz w:val="40"/>
        </w:rPr>
      </w:pPr>
      <w:r>
        <w:rPr>
          <w:b/>
          <w:sz w:val="40"/>
        </w:rPr>
        <w:t xml:space="preserve">REQUISITI TECNICO - FUNZIONALI </w:t>
      </w:r>
    </w:p>
    <w:p w14:paraId="1EE155D6" w14:textId="77777777" w:rsidR="00F62B10" w:rsidRDefault="008451DA">
      <w:pPr>
        <w:jc w:val="center"/>
        <w:rPr>
          <w:b/>
          <w:sz w:val="40"/>
        </w:rPr>
      </w:pPr>
      <w:r>
        <w:rPr>
          <w:b/>
          <w:sz w:val="40"/>
        </w:rPr>
        <w:t>E MODALITÀ DI FORNITURA</w:t>
      </w:r>
    </w:p>
    <w:p w14:paraId="45A6BB0C" w14:textId="77777777" w:rsidR="00F62B10" w:rsidRDefault="00F62B10">
      <w:pPr>
        <w:jc w:val="center"/>
        <w:rPr>
          <w:b/>
          <w:sz w:val="40"/>
        </w:rPr>
      </w:pPr>
    </w:p>
    <w:p w14:paraId="2862A011" w14:textId="77777777" w:rsidR="00F62B10" w:rsidRDefault="00F62B10">
      <w:pPr>
        <w:jc w:val="center"/>
        <w:rPr>
          <w:b/>
        </w:rPr>
      </w:pPr>
    </w:p>
    <w:p w14:paraId="6AA36472" w14:textId="77777777" w:rsidR="00F62B10" w:rsidRDefault="00F62B10">
      <w:pPr>
        <w:jc w:val="center"/>
        <w:rPr>
          <w:b/>
        </w:rPr>
      </w:pPr>
    </w:p>
    <w:p w14:paraId="19515311" w14:textId="77777777" w:rsidR="00F62B10" w:rsidRDefault="00F62B10">
      <w:pPr>
        <w:jc w:val="center"/>
        <w:rPr>
          <w:b/>
        </w:rPr>
      </w:pPr>
    </w:p>
    <w:p w14:paraId="5FEC6AFF" w14:textId="77777777" w:rsidR="00F62B10" w:rsidRDefault="00F62B10">
      <w:pPr>
        <w:jc w:val="center"/>
        <w:rPr>
          <w:b/>
        </w:rPr>
      </w:pPr>
    </w:p>
    <w:p w14:paraId="0BD19ED8" w14:textId="277F7779" w:rsidR="00F62B10" w:rsidRDefault="008451DA">
      <w:pPr>
        <w:ind w:left="8222"/>
        <w:rPr>
          <w:b/>
        </w:rPr>
      </w:pPr>
      <w:r>
        <w:rPr>
          <w:b/>
        </w:rPr>
        <w:t>[</w:t>
      </w:r>
      <w:r>
        <w:rPr>
          <w:i/>
        </w:rPr>
        <w:t>Indicare qui il nome dell’operatore economico partecipante</w:t>
      </w:r>
      <w:r>
        <w:rPr>
          <w:b/>
        </w:rPr>
        <w:t>]</w:t>
      </w:r>
    </w:p>
    <w:p w14:paraId="03C76EA8" w14:textId="77777777" w:rsidR="00F62B10" w:rsidRDefault="00F62B10">
      <w:pPr>
        <w:jc w:val="center"/>
        <w:rPr>
          <w:b/>
        </w:rPr>
      </w:pPr>
    </w:p>
    <w:p w14:paraId="14ECE0A0" w14:textId="77777777" w:rsidR="00F62B10" w:rsidRDefault="00F62B10">
      <w:pPr>
        <w:jc w:val="center"/>
        <w:rPr>
          <w:b/>
        </w:rPr>
      </w:pPr>
    </w:p>
    <w:p w14:paraId="5E721970" w14:textId="77777777" w:rsidR="00F62B10" w:rsidRDefault="00F62B10">
      <w:pPr>
        <w:jc w:val="center"/>
        <w:rPr>
          <w:b/>
        </w:rPr>
      </w:pPr>
    </w:p>
    <w:p w14:paraId="5A46CA2F" w14:textId="77777777" w:rsidR="00F62B10" w:rsidRDefault="008451DA">
      <w:pPr>
        <w:jc w:val="center"/>
        <w:rPr>
          <w:b/>
        </w:rPr>
      </w:pPr>
      <w:r>
        <w:br w:type="page"/>
      </w:r>
    </w:p>
    <w:p w14:paraId="68C74783" w14:textId="77777777" w:rsidR="00F62B10" w:rsidRDefault="008451DA">
      <w:pPr>
        <w:pStyle w:val="Titolo1"/>
      </w:pPr>
      <w:bookmarkStart w:id="0" w:name="_Toc443562556"/>
      <w:bookmarkStart w:id="1" w:name="_Toc229889265"/>
      <w:bookmarkEnd w:id="0"/>
      <w:bookmarkEnd w:id="1"/>
      <w:r>
        <w:lastRenderedPageBreak/>
        <w:t>INTRODUZIONE</w:t>
      </w:r>
    </w:p>
    <w:p w14:paraId="590E45ED" w14:textId="77777777" w:rsidR="00272570" w:rsidRDefault="00272570">
      <w:pPr>
        <w:spacing w:after="120"/>
        <w:jc w:val="both"/>
      </w:pPr>
    </w:p>
    <w:p w14:paraId="400F4FA5" w14:textId="0855A7AD" w:rsidR="00F62B10" w:rsidRDefault="008451DA">
      <w:pPr>
        <w:spacing w:after="120"/>
        <w:jc w:val="both"/>
      </w:pPr>
      <w:r>
        <w:t xml:space="preserve">Il CSI Piemonte intende acquisire informazioni in relazione </w:t>
      </w:r>
      <w:r w:rsidR="005E21DC">
        <w:t xml:space="preserve">a soluzioni di posto operatore </w:t>
      </w:r>
      <w:r w:rsidR="00AE7DE6">
        <w:t xml:space="preserve">per normo-vedenti, </w:t>
      </w:r>
      <w:proofErr w:type="spellStart"/>
      <w:proofErr w:type="gramStart"/>
      <w:r w:rsidR="00AE7DE6">
        <w:t>ipo</w:t>
      </w:r>
      <w:proofErr w:type="spellEnd"/>
      <w:r w:rsidR="00AE7DE6">
        <w:t>-vedenti</w:t>
      </w:r>
      <w:proofErr w:type="gramEnd"/>
      <w:r w:rsidR="00AE7DE6">
        <w:t xml:space="preserve"> e non vedenti da po</w:t>
      </w:r>
      <w:r w:rsidR="009D1AAA">
        <w:t>ter integrare con la</w:t>
      </w:r>
      <w:r w:rsidR="00330243">
        <w:t xml:space="preserve"> </w:t>
      </w:r>
      <w:r w:rsidR="00D00C24">
        <w:t xml:space="preserve">propria </w:t>
      </w:r>
      <w:r w:rsidR="009D1AAA">
        <w:t xml:space="preserve">piattaforma </w:t>
      </w:r>
      <w:r w:rsidR="00330243">
        <w:t>di telefonia VoIP</w:t>
      </w:r>
      <w:r w:rsidR="00CE5544">
        <w:t xml:space="preserve"> Open Source </w:t>
      </w:r>
      <w:proofErr w:type="spellStart"/>
      <w:r w:rsidR="00CE5544">
        <w:t>Sipxcom</w:t>
      </w:r>
      <w:proofErr w:type="spellEnd"/>
      <w:r w:rsidR="00D00C24">
        <w:t xml:space="preserve"> </w:t>
      </w:r>
      <w:r w:rsidR="00DC7143">
        <w:t>utilizzata per l’erogazione di servizi di telefonia IP per gli enti della P.A. piemontese.</w:t>
      </w:r>
    </w:p>
    <w:p w14:paraId="16B8EFCC" w14:textId="36149C0E" w:rsidR="00F62B10" w:rsidRDefault="008451DA">
      <w:pPr>
        <w:spacing w:after="120"/>
        <w:jc w:val="both"/>
      </w:pPr>
      <w:r>
        <w:t xml:space="preserve">La soluzione in oggetto deve poter permettere </w:t>
      </w:r>
      <w:r w:rsidR="006D7B9E">
        <w:t>la gestione</w:t>
      </w:r>
      <w:r w:rsidR="00BB2039">
        <w:t xml:space="preserve"> e accodamento</w:t>
      </w:r>
      <w:r w:rsidR="006D7B9E">
        <w:t xml:space="preserve"> delle chiamate</w:t>
      </w:r>
      <w:r w:rsidR="00C45E97">
        <w:t xml:space="preserve"> inoltrate da</w:t>
      </w:r>
      <w:r w:rsidR="0041138A">
        <w:t>l</w:t>
      </w:r>
      <w:r w:rsidR="00C45E97">
        <w:t xml:space="preserve"> SIP PBX</w:t>
      </w:r>
      <w:r w:rsidR="00BB2039">
        <w:t xml:space="preserve"> tramite </w:t>
      </w:r>
      <w:proofErr w:type="spellStart"/>
      <w:r w:rsidR="00BB2039">
        <w:t>trunk</w:t>
      </w:r>
      <w:proofErr w:type="spellEnd"/>
      <w:r w:rsidR="00BB2039">
        <w:t xml:space="preserve"> SIP e lo smistamento verso </w:t>
      </w:r>
      <w:r w:rsidR="00BE3490">
        <w:t xml:space="preserve">gli operatori centralinisti </w:t>
      </w:r>
      <w:r w:rsidR="007230C0">
        <w:t xml:space="preserve">mediante l’utilizzo di un’applicazione software accessibile via </w:t>
      </w:r>
      <w:r w:rsidR="00751F00">
        <w:t xml:space="preserve">browser o </w:t>
      </w:r>
      <w:r w:rsidR="00751F00" w:rsidRPr="0041138A">
        <w:t xml:space="preserve">mediante client </w:t>
      </w:r>
      <w:r w:rsidR="00751D3F" w:rsidRPr="0041138A">
        <w:t>da installare sul PC</w:t>
      </w:r>
      <w:r w:rsidR="00890E92" w:rsidRPr="00CD6B14">
        <w:t xml:space="preserve">, </w:t>
      </w:r>
      <w:r w:rsidR="00BA1467" w:rsidRPr="00CD6B14">
        <w:t>che</w:t>
      </w:r>
      <w:r w:rsidR="00600965" w:rsidRPr="00CD6B14">
        <w:t xml:space="preserve"> garanti</w:t>
      </w:r>
      <w:r w:rsidR="00BA1467" w:rsidRPr="00CD6B14">
        <w:t>sc</w:t>
      </w:r>
      <w:r w:rsidR="003B4BE6" w:rsidRPr="00CD6B14">
        <w:t>a</w:t>
      </w:r>
      <w:r w:rsidR="00600965" w:rsidRPr="00CD6B14">
        <w:t xml:space="preserve"> </w:t>
      </w:r>
      <w:r w:rsidR="004678FE" w:rsidRPr="00CD6B14">
        <w:t xml:space="preserve">la mobilità e </w:t>
      </w:r>
      <w:r w:rsidR="00E53501" w:rsidRPr="00CD6B14">
        <w:t>la delocalizzazione</w:t>
      </w:r>
      <w:r w:rsidR="00D11CDD" w:rsidRPr="00CD6B14">
        <w:t xml:space="preserve"> delle postazioni</w:t>
      </w:r>
      <w:r w:rsidR="003B4BE6" w:rsidRPr="00CD6B14">
        <w:t xml:space="preserve"> </w:t>
      </w:r>
      <w:r w:rsidR="006B1007" w:rsidRPr="00CD6B14">
        <w:t>nel rispetto delle</w:t>
      </w:r>
      <w:r w:rsidR="003B4BE6" w:rsidRPr="00CD6B14">
        <w:t xml:space="preserve"> specifiche</w:t>
      </w:r>
      <w:r w:rsidR="006B1007" w:rsidRPr="00CD6B14">
        <w:t xml:space="preserve"> tec</w:t>
      </w:r>
      <w:r w:rsidR="006B1007">
        <w:t>nico-funzionali</w:t>
      </w:r>
      <w:r w:rsidR="003B4BE6">
        <w:t xml:space="preserve"> espresse nel presente documento</w:t>
      </w:r>
      <w:r>
        <w:t xml:space="preserve">. </w:t>
      </w:r>
    </w:p>
    <w:p w14:paraId="59E0CCB3" w14:textId="7FA1D8F0" w:rsidR="00F62B10" w:rsidRPr="005B07D3" w:rsidRDefault="00036F23" w:rsidP="00FC448F">
      <w:pPr>
        <w:spacing w:after="120"/>
        <w:jc w:val="both"/>
        <w:rPr>
          <w:bCs/>
        </w:rPr>
      </w:pPr>
      <w:r>
        <w:t>Nelle tabelle riportate di seguito</w:t>
      </w:r>
      <w:r w:rsidR="00EE6475">
        <w:t xml:space="preserve"> vengono dettagliati i requisiti funzionali e non funzionali, obbligatori </w:t>
      </w:r>
      <w:r w:rsidR="00EE6475" w:rsidRPr="005B07D3">
        <w:t xml:space="preserve">e </w:t>
      </w:r>
      <w:r w:rsidR="00654F3C">
        <w:t>informativi.</w:t>
      </w:r>
    </w:p>
    <w:p w14:paraId="2019D8AE" w14:textId="1B6E2304" w:rsidR="00F62B10" w:rsidRDefault="008451DA">
      <w:pPr>
        <w:spacing w:after="120"/>
        <w:jc w:val="both"/>
      </w:pPr>
      <w:r w:rsidRPr="005B07D3">
        <w:t>Il presente documento – che costituisce l’allegato 1 all’</w:t>
      </w:r>
      <w:r w:rsidRPr="005B07D3">
        <w:rPr>
          <w:i/>
        </w:rPr>
        <w:t xml:space="preserve">Avviso di indagine di mercato nell’ambito dell’analisi comparativa finalizzata all’individuazione di una soluzione software </w:t>
      </w:r>
      <w:r w:rsidR="00037161" w:rsidRPr="005B07D3">
        <w:rPr>
          <w:i/>
        </w:rPr>
        <w:t>di posto operatore</w:t>
      </w:r>
      <w:r w:rsidR="00EC50CD" w:rsidRPr="005B07D3">
        <w:rPr>
          <w:i/>
        </w:rPr>
        <w:t xml:space="preserve"> VoIP</w:t>
      </w:r>
      <w:r w:rsidRPr="005B07D3">
        <w:rPr>
          <w:i/>
        </w:rPr>
        <w:t xml:space="preserve"> </w:t>
      </w:r>
      <w:r w:rsidR="00654F3C">
        <w:rPr>
          <w:i/>
        </w:rPr>
        <w:t xml:space="preserve">con Gestione Code di Chiamata </w:t>
      </w:r>
      <w:r w:rsidRPr="005B07D3">
        <w:rPr>
          <w:i/>
        </w:rPr>
        <w:t xml:space="preserve">ai sensi dell’art. 68 del D. Lgs. 82/2005 e </w:t>
      </w:r>
      <w:proofErr w:type="spellStart"/>
      <w:r w:rsidRPr="005B07D3">
        <w:rPr>
          <w:i/>
        </w:rPr>
        <w:t>s.m.i.</w:t>
      </w:r>
      <w:proofErr w:type="spellEnd"/>
      <w:r w:rsidRPr="005B07D3">
        <w:rPr>
          <w:i/>
        </w:rPr>
        <w:t xml:space="preserve"> – Codice dell’Amministrazione Digitale (CAD)” </w:t>
      </w:r>
      <w:r w:rsidRPr="005B07D3">
        <w:t>– ha l’obiettivo di verificare la presenza sul mercato di soluzioni dotate – in tutto o in parte – di caratteristiche funzionali e tecniche atte a soddisfare le esigenze del CSI-Piemonte, conoscendone anche le relative modalità di fornitura/distribuzione oltre che le stime di massima su costi e tempi di messa a disposizione.</w:t>
      </w:r>
      <w:r>
        <w:t xml:space="preserve"> </w:t>
      </w:r>
    </w:p>
    <w:p w14:paraId="1A9A4309" w14:textId="77777777" w:rsidR="00F62B10" w:rsidRDefault="008451DA">
      <w:pPr>
        <w:pStyle w:val="Titolo1"/>
      </w:pPr>
      <w:r>
        <w:t xml:space="preserve">Nota bene: in considerazione della natura dell’Indagine in corso e dei relativi fini di analisi comparativa ai sensi dell’art. 68 CAD – è richiesto di omettere ovvero di non inserire tra le informazioni, elementi protetti da segreto industriale, know-how, proprietà intellettuale e/o industriale o analoga normativa (si veda anche quanto al riguardo precisato nell’avviso cui il presente documento costituisce allegato). </w:t>
      </w:r>
    </w:p>
    <w:p w14:paraId="2B0A701C" w14:textId="77777777" w:rsidR="00F62B10" w:rsidRDefault="008451DA">
      <w:pPr>
        <w:pStyle w:val="Titolo1"/>
      </w:pPr>
      <w:r>
        <w:t>RIFERIMENTI</w:t>
      </w:r>
    </w:p>
    <w:p w14:paraId="4A7BB2B8" w14:textId="7BB1BAC7" w:rsidR="00F62B10" w:rsidRDefault="008451DA">
      <w:pPr>
        <w:spacing w:after="480"/>
        <w:jc w:val="both"/>
      </w:pPr>
      <w:bookmarkStart w:id="2" w:name="_Toc443562557"/>
      <w:r>
        <w:t>Art. 68 CAD.</w:t>
      </w:r>
    </w:p>
    <w:p w14:paraId="068420CD" w14:textId="77777777" w:rsidR="00F62B10" w:rsidRDefault="008451DA">
      <w:pPr>
        <w:pStyle w:val="Titolo1"/>
      </w:pPr>
      <w:r>
        <w:t xml:space="preserve">DESCRIZIONE IN SINTESI DELLA SOLUZIONE PROPOSTA </w:t>
      </w:r>
    </w:p>
    <w:p w14:paraId="48914B72" w14:textId="77777777" w:rsidR="00654F3C" w:rsidRDefault="008451DA" w:rsidP="00654F3C">
      <w:pPr>
        <w:spacing w:after="120"/>
        <w:jc w:val="both"/>
        <w:rPr>
          <w:i/>
          <w:szCs w:val="22"/>
        </w:rPr>
      </w:pPr>
      <w:r w:rsidRPr="00654F3C">
        <w:rPr>
          <w:i/>
          <w:szCs w:val="22"/>
        </w:rPr>
        <w:t xml:space="preserve">Inserire qui una breve descrizione (max 2 pagine) della soluzione proposta </w:t>
      </w:r>
      <w:r>
        <w:rPr>
          <w:i/>
          <w:szCs w:val="22"/>
        </w:rPr>
        <w:t xml:space="preserve">e delle tecnologie di riferimento adottate dalla soluzione (system software, linguaggi di sviluppo e middleware). </w:t>
      </w:r>
    </w:p>
    <w:p w14:paraId="1AD491EE" w14:textId="09083CF1" w:rsidR="00654F3C" w:rsidRPr="00654F3C" w:rsidRDefault="00654F3C" w:rsidP="00654F3C">
      <w:pPr>
        <w:spacing w:after="120"/>
        <w:jc w:val="both"/>
        <w:rPr>
          <w:i/>
          <w:szCs w:val="22"/>
        </w:rPr>
      </w:pPr>
      <w:r>
        <w:rPr>
          <w:i/>
          <w:szCs w:val="22"/>
        </w:rPr>
        <w:t>Si chiede inoltre di indicare eventuali componenti hardware necessari all’utilizzo della soluzione proposta (</w:t>
      </w:r>
      <w:r w:rsidRPr="00654F3C">
        <w:rPr>
          <w:i/>
          <w:szCs w:val="22"/>
        </w:rPr>
        <w:t>(sono da escludersi apparati e periferiche tipiche di una postazione di lavoro standard: pc, monitor, tastiera, mouse, telefono, etc..)</w:t>
      </w:r>
      <w:r>
        <w:rPr>
          <w:i/>
          <w:szCs w:val="22"/>
        </w:rPr>
        <w:t>.</w:t>
      </w:r>
    </w:p>
    <w:p w14:paraId="76FC6683" w14:textId="77777777" w:rsidR="00F62B10" w:rsidRDefault="00F62B10">
      <w:pPr>
        <w:spacing w:before="120" w:after="120"/>
        <w:jc w:val="both"/>
        <w:rPr>
          <w:i/>
        </w:rPr>
      </w:pPr>
    </w:p>
    <w:bookmarkEnd w:id="2"/>
    <w:p w14:paraId="4BF5B064" w14:textId="77777777" w:rsidR="00F62B10" w:rsidRDefault="008451DA">
      <w:pPr>
        <w:pStyle w:val="Titolo1"/>
      </w:pPr>
      <w:r>
        <w:t xml:space="preserve">SODDISFACIMENTO DEI REQUISITI </w:t>
      </w:r>
    </w:p>
    <w:p w14:paraId="2B7CCF76" w14:textId="77777777" w:rsidR="00F62B10" w:rsidRDefault="008451DA">
      <w:pPr>
        <w:spacing w:before="120" w:after="120"/>
        <w:jc w:val="both"/>
      </w:pPr>
      <w:r>
        <w:t xml:space="preserve">Nel seguito sono elencati i requisiti individuati per la soluzione sulla base delle esigenze </w:t>
      </w:r>
      <w:r>
        <w:rPr>
          <w:bCs/>
        </w:rPr>
        <w:t xml:space="preserve">espresse anche dagli Enti fruitori del servizio </w:t>
      </w:r>
    </w:p>
    <w:p w14:paraId="6E2FA141" w14:textId="77777777" w:rsidR="00F62B10" w:rsidRDefault="008451DA">
      <w:pPr>
        <w:spacing w:after="120"/>
        <w:jc w:val="both"/>
      </w:pPr>
      <w:r>
        <w:t>Si distinguono in tabelle separate:</w:t>
      </w:r>
    </w:p>
    <w:p w14:paraId="344A2E14" w14:textId="77777777" w:rsidR="00F62B10" w:rsidRDefault="008451DA">
      <w:pPr>
        <w:numPr>
          <w:ilvl w:val="0"/>
          <w:numId w:val="4"/>
        </w:numPr>
        <w:jc w:val="both"/>
      </w:pPr>
      <w:r>
        <w:t xml:space="preserve">i requisiti funzionali (RF), </w:t>
      </w:r>
    </w:p>
    <w:p w14:paraId="1CD68BA9" w14:textId="77777777" w:rsidR="00F62B10" w:rsidRDefault="008451DA">
      <w:pPr>
        <w:numPr>
          <w:ilvl w:val="0"/>
          <w:numId w:val="4"/>
        </w:numPr>
        <w:jc w:val="both"/>
      </w:pPr>
      <w:r>
        <w:t>i requisiti non funzionali (RNF),</w:t>
      </w:r>
    </w:p>
    <w:p w14:paraId="6DB8966D" w14:textId="77777777" w:rsidR="00F62B10" w:rsidRDefault="008451DA">
      <w:pPr>
        <w:numPr>
          <w:ilvl w:val="0"/>
          <w:numId w:val="4"/>
        </w:numPr>
        <w:jc w:val="both"/>
      </w:pPr>
      <w:r>
        <w:t xml:space="preserve">la modalità di fornitura del software (MF) </w:t>
      </w:r>
    </w:p>
    <w:p w14:paraId="5D6FD11A" w14:textId="77777777" w:rsidR="00F62B10" w:rsidRDefault="00F62B10">
      <w:pPr>
        <w:spacing w:after="120"/>
        <w:jc w:val="both"/>
      </w:pPr>
    </w:p>
    <w:p w14:paraId="25B5B5E1" w14:textId="77777777" w:rsidR="00F62B10" w:rsidRDefault="008451DA">
      <w:pPr>
        <w:spacing w:after="120"/>
        <w:jc w:val="both"/>
      </w:pPr>
      <w:r>
        <w:t>Nel seguito si descrive il significato delle colonne:</w:t>
      </w:r>
    </w:p>
    <w:p w14:paraId="470F2DA3" w14:textId="77777777" w:rsidR="00F62B10" w:rsidRDefault="008451DA">
      <w:pPr>
        <w:numPr>
          <w:ilvl w:val="0"/>
          <w:numId w:val="1"/>
        </w:numPr>
        <w:spacing w:after="120"/>
        <w:jc w:val="both"/>
      </w:pPr>
      <w:r>
        <w:rPr>
          <w:b/>
        </w:rPr>
        <w:t>Gruppo di requisiti</w:t>
      </w:r>
      <w:r>
        <w:t xml:space="preserve">: per i requisiti non funzionali e le modalità di fornitura descrive il raggruppamento logico del requisito. (NON MODIFICARE) </w:t>
      </w:r>
    </w:p>
    <w:p w14:paraId="2C56A932" w14:textId="77777777" w:rsidR="00F62B10" w:rsidRDefault="008451DA">
      <w:pPr>
        <w:numPr>
          <w:ilvl w:val="0"/>
          <w:numId w:val="1"/>
        </w:numPr>
        <w:spacing w:after="120"/>
        <w:jc w:val="both"/>
        <w:rPr>
          <w:b/>
        </w:rPr>
      </w:pPr>
      <w:r>
        <w:rPr>
          <w:b/>
        </w:rPr>
        <w:t>ID</w:t>
      </w:r>
      <w:r>
        <w:t>: descrive il codice univoco del requisito (NON MODIFICARE)</w:t>
      </w:r>
    </w:p>
    <w:p w14:paraId="13A5BAFC" w14:textId="77777777" w:rsidR="00F62B10" w:rsidRDefault="008451DA">
      <w:pPr>
        <w:numPr>
          <w:ilvl w:val="0"/>
          <w:numId w:val="1"/>
        </w:numPr>
        <w:spacing w:after="120"/>
        <w:jc w:val="both"/>
      </w:pPr>
      <w:r>
        <w:rPr>
          <w:b/>
        </w:rPr>
        <w:t>Requisito</w:t>
      </w:r>
      <w:r>
        <w:t>: descrive il singolo requisito individuato (NON MODIFICARE)</w:t>
      </w:r>
    </w:p>
    <w:p w14:paraId="58030487" w14:textId="1C16ABF1" w:rsidR="00F62B10" w:rsidRDefault="008451DA">
      <w:pPr>
        <w:numPr>
          <w:ilvl w:val="0"/>
          <w:numId w:val="1"/>
        </w:numPr>
        <w:spacing w:after="120"/>
        <w:jc w:val="both"/>
      </w:pPr>
      <w:r>
        <w:rPr>
          <w:b/>
        </w:rPr>
        <w:t xml:space="preserve">Obbligatorio (O) Informativo (I): </w:t>
      </w:r>
      <w:r>
        <w:t>i requisiti contrassegnati con la</w:t>
      </w:r>
    </w:p>
    <w:p w14:paraId="06D1849D" w14:textId="77777777" w:rsidR="00F62B10" w:rsidRDefault="008451DA">
      <w:pPr>
        <w:numPr>
          <w:ilvl w:val="1"/>
          <w:numId w:val="1"/>
        </w:numPr>
        <w:spacing w:after="120"/>
        <w:jc w:val="both"/>
      </w:pPr>
      <w:r>
        <w:rPr>
          <w:b/>
        </w:rPr>
        <w:t xml:space="preserve">O </w:t>
      </w:r>
      <w:r>
        <w:t>sono considerati essenziali/imprescindibili. La loro assenza non permette di prendere in considerazione la soluzione proposta;</w:t>
      </w:r>
    </w:p>
    <w:p w14:paraId="5F584C8D" w14:textId="77777777" w:rsidR="00F62B10" w:rsidRDefault="008451DA">
      <w:pPr>
        <w:numPr>
          <w:ilvl w:val="1"/>
          <w:numId w:val="1"/>
        </w:numPr>
        <w:spacing w:after="120"/>
        <w:jc w:val="both"/>
      </w:pPr>
      <w:r>
        <w:rPr>
          <w:b/>
        </w:rPr>
        <w:t xml:space="preserve">I </w:t>
      </w:r>
      <w:r>
        <w:rPr>
          <w:bCs/>
        </w:rPr>
        <w:t>sono utili a comprendere elementi alternativi o utili ma non rappresentativi ai fini della valutazione in termini quantitativi della soluzione valutata</w:t>
      </w:r>
    </w:p>
    <w:p w14:paraId="597D9C75" w14:textId="77777777" w:rsidR="00F62B10" w:rsidRDefault="008451DA">
      <w:pPr>
        <w:numPr>
          <w:ilvl w:val="0"/>
          <w:numId w:val="1"/>
        </w:numPr>
        <w:spacing w:after="120"/>
        <w:jc w:val="both"/>
        <w:rPr>
          <w:b/>
        </w:rPr>
      </w:pPr>
      <w:r>
        <w:rPr>
          <w:b/>
        </w:rPr>
        <w:t xml:space="preserve">Requisito soddisfatto: </w:t>
      </w:r>
      <w:r>
        <w:t xml:space="preserve">indica la disponibilità del requisito da parte della soluzione proposta nella versione attualmente disponibile (COMPILARE). La disponibilità/non disponibilità deve essere indicata con “SI/NO”. </w:t>
      </w:r>
    </w:p>
    <w:p w14:paraId="42E8092C" w14:textId="77777777" w:rsidR="00F62B10" w:rsidRDefault="008451DA">
      <w:pPr>
        <w:numPr>
          <w:ilvl w:val="0"/>
          <w:numId w:val="2"/>
        </w:numPr>
        <w:spacing w:before="120" w:after="120"/>
        <w:ind w:left="714" w:hanging="357"/>
        <w:jc w:val="both"/>
        <w:rPr>
          <w:b/>
          <w:u w:val="single"/>
        </w:rPr>
        <w:sectPr w:rsidR="00F62B10">
          <w:headerReference w:type="default" r:id="rId11"/>
          <w:footerReference w:type="default" r:id="rId12"/>
          <w:pgSz w:w="11906" w:h="16838"/>
          <w:pgMar w:top="1245" w:right="1134" w:bottom="851" w:left="1134" w:header="425" w:footer="403" w:gutter="0"/>
          <w:cols w:space="720"/>
          <w:formProt w:val="0"/>
          <w:docGrid w:linePitch="326" w:charSpace="-6145"/>
        </w:sectPr>
      </w:pPr>
      <w:r>
        <w:rPr>
          <w:b/>
        </w:rPr>
        <w:t xml:space="preserve">Note </w:t>
      </w:r>
      <w:r>
        <w:t xml:space="preserve">(DA COMPILARE OPZIONALMENTE E/O OVE RICHIESTO): spazio da utilizzare per fornire precisazioni esplicative rispetto al soddisfacimento del requisito. </w:t>
      </w:r>
    </w:p>
    <w:p w14:paraId="5AB4C090" w14:textId="77777777" w:rsidR="00F62B10" w:rsidRDefault="00F62B10">
      <w:pPr>
        <w:spacing w:before="120" w:after="120"/>
        <w:ind w:left="357"/>
        <w:jc w:val="both"/>
        <w:rPr>
          <w:b/>
          <w:u w:val="single"/>
        </w:rPr>
      </w:pPr>
    </w:p>
    <w:p w14:paraId="634C3D83" w14:textId="77777777" w:rsidR="00F62B10" w:rsidRDefault="008451DA">
      <w:pPr>
        <w:spacing w:before="120" w:after="120"/>
        <w:ind w:left="357"/>
        <w:jc w:val="both"/>
        <w:rPr>
          <w:b/>
          <w:u w:val="single"/>
        </w:rPr>
      </w:pPr>
      <w:r>
        <w:rPr>
          <w:b/>
          <w:u w:val="single"/>
        </w:rPr>
        <w:t xml:space="preserve">Requisiti funzionali </w:t>
      </w:r>
    </w:p>
    <w:p w14:paraId="7EE0A553" w14:textId="77777777" w:rsidR="00F62B10" w:rsidRDefault="00F62B10">
      <w:pPr>
        <w:spacing w:before="60" w:after="144"/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3"/>
        <w:gridCol w:w="7777"/>
        <w:gridCol w:w="1586"/>
        <w:gridCol w:w="1253"/>
        <w:gridCol w:w="2873"/>
      </w:tblGrid>
      <w:tr w:rsidR="00F62B10" w14:paraId="291C9DC2" w14:textId="77777777" w:rsidTr="008451DA">
        <w:trPr>
          <w:tblHeader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0B336016" w14:textId="77777777" w:rsidR="00F62B10" w:rsidRDefault="008451D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4CF9D414" w14:textId="77777777" w:rsidR="00F62B10" w:rsidRDefault="008451DA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Requisito funzionale (RF)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2749E3ED" w14:textId="77777777" w:rsidR="00F62B10" w:rsidRDefault="008451D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Obbligatorio (O) </w:t>
            </w:r>
          </w:p>
          <w:p w14:paraId="683CBA1F" w14:textId="77777777" w:rsidR="00F62B10" w:rsidRDefault="008451D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Informativo(I)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7CBD2793" w14:textId="77777777" w:rsidR="00F62B10" w:rsidRDefault="008451DA">
            <w:pPr>
              <w:spacing w:before="60" w:after="14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Requisito soddisfatto</w:t>
            </w:r>
          </w:p>
          <w:p w14:paraId="7FA43D51" w14:textId="77777777" w:rsidR="00F62B10" w:rsidRDefault="008451DA">
            <w:pPr>
              <w:spacing w:before="60" w:after="14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(SI/NO) 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5AD143A3" w14:textId="77777777" w:rsidR="00F62B10" w:rsidRDefault="008451D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F62B10" w14:paraId="48FCD6FF" w14:textId="77777777" w:rsidTr="008451DA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DCD146" w14:textId="77777777" w:rsidR="00F62B10" w:rsidRDefault="008451D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RF1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5544E" w14:textId="12EB9805" w:rsidR="00F62B10" w:rsidRDefault="009A7125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L’applicazione</w:t>
            </w:r>
            <w:r w:rsidR="00F24A7F">
              <w:rPr>
                <w:sz w:val="22"/>
                <w:szCs w:val="22"/>
              </w:rPr>
              <w:t xml:space="preserve"> proposta</w:t>
            </w:r>
            <w:r>
              <w:rPr>
                <w:sz w:val="22"/>
                <w:szCs w:val="22"/>
              </w:rPr>
              <w:t xml:space="preserve"> deve permettere la gestione </w:t>
            </w:r>
            <w:r w:rsidR="002E5504">
              <w:rPr>
                <w:sz w:val="22"/>
                <w:szCs w:val="22"/>
              </w:rPr>
              <w:t xml:space="preserve">delle chiamate </w:t>
            </w:r>
            <w:r>
              <w:rPr>
                <w:sz w:val="22"/>
                <w:szCs w:val="22"/>
              </w:rPr>
              <w:t>da parte degli operatori centralinisti</w:t>
            </w:r>
            <w:r w:rsidR="005B63CA">
              <w:rPr>
                <w:sz w:val="22"/>
                <w:szCs w:val="22"/>
              </w:rPr>
              <w:t xml:space="preserve"> garantendo i servizi telefonici </w:t>
            </w:r>
            <w:r w:rsidR="002D14C9">
              <w:rPr>
                <w:sz w:val="22"/>
                <w:szCs w:val="22"/>
              </w:rPr>
              <w:t>base</w:t>
            </w:r>
            <w:r w:rsidR="001077F8">
              <w:rPr>
                <w:sz w:val="22"/>
                <w:szCs w:val="22"/>
              </w:rPr>
              <w:t xml:space="preserve"> per tale categoria di utenze</w:t>
            </w:r>
            <w:r w:rsidR="002D14C9">
              <w:rPr>
                <w:sz w:val="22"/>
                <w:szCs w:val="22"/>
              </w:rPr>
              <w:t xml:space="preserve">: </w:t>
            </w:r>
            <w:r w:rsidR="001077F8">
              <w:rPr>
                <w:sz w:val="22"/>
                <w:szCs w:val="22"/>
              </w:rPr>
              <w:t xml:space="preserve">effettuare e ricevere chiamate, trasferimento con e senza consultazione, </w:t>
            </w:r>
            <w:r w:rsidR="00C77543">
              <w:rPr>
                <w:sz w:val="22"/>
                <w:szCs w:val="22"/>
              </w:rPr>
              <w:t>call parking, messa in attesa</w:t>
            </w:r>
            <w:r w:rsidR="002D14C9">
              <w:rPr>
                <w:sz w:val="22"/>
                <w:szCs w:val="22"/>
              </w:rPr>
              <w:t xml:space="preserve">, </w:t>
            </w:r>
            <w:r w:rsidR="00EF14FE">
              <w:rPr>
                <w:sz w:val="22"/>
                <w:szCs w:val="22"/>
              </w:rPr>
              <w:t>lista di chiamate</w:t>
            </w:r>
            <w:r w:rsidR="00945FF0">
              <w:rPr>
                <w:sz w:val="22"/>
                <w:szCs w:val="22"/>
              </w:rPr>
              <w:t xml:space="preserve">, </w:t>
            </w:r>
            <w:r w:rsidR="004B04B1">
              <w:rPr>
                <w:sz w:val="22"/>
                <w:szCs w:val="22"/>
              </w:rPr>
              <w:t>accesso rubrica aziendale</w:t>
            </w:r>
            <w:r w:rsidR="00EF14FE">
              <w:rPr>
                <w:sz w:val="22"/>
                <w:szCs w:val="22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900110" w14:textId="77777777" w:rsidR="00F62B10" w:rsidRDefault="008451D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859CA7" w14:textId="77777777" w:rsidR="00F62B10" w:rsidRDefault="008451DA">
            <w:pPr>
              <w:spacing w:before="60" w:after="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D78457" w14:textId="5EEE89B9" w:rsidR="00F62B10" w:rsidRDefault="00F62B10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651D22" w14:paraId="7488B489" w14:textId="77777777" w:rsidTr="008451DA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D87FD8" w14:textId="17537779" w:rsidR="00651D22" w:rsidRDefault="0022414B" w:rsidP="00E4049D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RF2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D66FE" w14:textId="4C21A832" w:rsidR="00651D22" w:rsidRDefault="00005A5D" w:rsidP="00E4049D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soluzione deve garantire la gestione delle chiamate in ingresso dal SIP PBX con servizi di accodamento delle chiamate</w:t>
            </w:r>
            <w:r w:rsidR="00077D8D">
              <w:rPr>
                <w:sz w:val="22"/>
                <w:szCs w:val="22"/>
              </w:rPr>
              <w:t xml:space="preserve"> e distribuzione delle stesse verso </w:t>
            </w:r>
            <w:r w:rsidR="0018387A">
              <w:rPr>
                <w:sz w:val="22"/>
                <w:szCs w:val="22"/>
              </w:rPr>
              <w:t>le postazioni operator</w:t>
            </w:r>
            <w:r w:rsidR="00C117C2">
              <w:rPr>
                <w:sz w:val="22"/>
                <w:szCs w:val="22"/>
              </w:rPr>
              <w:t>e</w:t>
            </w:r>
            <w:r w:rsidR="00D906F4">
              <w:rPr>
                <w:sz w:val="22"/>
                <w:szCs w:val="22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552332" w14:textId="7333C118" w:rsidR="00651D22" w:rsidRDefault="004B04B1" w:rsidP="00E4049D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3417FF" w14:textId="77777777" w:rsidR="00651D22" w:rsidRDefault="00651D22" w:rsidP="00E4049D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895B85" w14:textId="77777777" w:rsidR="00651D22" w:rsidRDefault="00651D22" w:rsidP="00E4049D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4E5331" w14:paraId="35516A1B" w14:textId="77777777" w:rsidTr="008451DA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FF0B2" w14:textId="7C266605" w:rsidR="004E5331" w:rsidRDefault="004E5331" w:rsidP="004E5331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RF3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1BB99" w14:textId="2676A602" w:rsidR="004E5331" w:rsidRDefault="004C01C6" w:rsidP="004E5331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soluzione deve supportare differenti algoritmi di distribuzione delle chiamate verso i posti operatore</w:t>
            </w:r>
            <w:r w:rsidR="004B04B1">
              <w:rPr>
                <w:sz w:val="22"/>
                <w:szCs w:val="22"/>
              </w:rPr>
              <w:t xml:space="preserve"> quali</w:t>
            </w:r>
            <w:r w:rsidR="004151B4">
              <w:rPr>
                <w:sz w:val="22"/>
                <w:szCs w:val="22"/>
              </w:rPr>
              <w:t xml:space="preserve"> </w:t>
            </w:r>
            <w:r w:rsidR="00CC567A">
              <w:rPr>
                <w:sz w:val="22"/>
                <w:szCs w:val="22"/>
              </w:rPr>
              <w:t>round-</w:t>
            </w:r>
            <w:proofErr w:type="spellStart"/>
            <w:r w:rsidR="00CC567A">
              <w:rPr>
                <w:sz w:val="22"/>
                <w:szCs w:val="22"/>
              </w:rPr>
              <w:t>robin</w:t>
            </w:r>
            <w:proofErr w:type="spellEnd"/>
            <w:r w:rsidR="00CC567A">
              <w:rPr>
                <w:sz w:val="22"/>
                <w:szCs w:val="22"/>
              </w:rPr>
              <w:t xml:space="preserve"> o basati sul numero chiamate medio gestite dall’operatore</w:t>
            </w:r>
            <w:r w:rsidR="00D844C6">
              <w:rPr>
                <w:sz w:val="22"/>
                <w:szCs w:val="22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16BBBF" w14:textId="2383A849" w:rsidR="004E5331" w:rsidRDefault="004B04B1" w:rsidP="004E5331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2D35B9" w14:textId="77777777" w:rsidR="004E5331" w:rsidRDefault="004E5331" w:rsidP="004E5331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72E1E8" w14:textId="77777777" w:rsidR="004E5331" w:rsidRDefault="004E5331" w:rsidP="004E5331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4E5331" w14:paraId="1F4E3174" w14:textId="77777777" w:rsidTr="008451DA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D0C2DD" w14:textId="6908B014" w:rsidR="004E5331" w:rsidRDefault="004E5331" w:rsidP="004E5331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RF4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0640A" w14:textId="640410C2" w:rsidR="004E5331" w:rsidRDefault="004E5331" w:rsidP="004E5331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L’applicazione deve essere utilizzabile in tutte le sue funzioni da operatori non-vedenti o </w:t>
            </w:r>
            <w:proofErr w:type="spellStart"/>
            <w:proofErr w:type="gramStart"/>
            <w:r>
              <w:rPr>
                <w:sz w:val="22"/>
                <w:szCs w:val="22"/>
              </w:rPr>
              <w:t>ipo</w:t>
            </w:r>
            <w:proofErr w:type="spellEnd"/>
            <w:r>
              <w:rPr>
                <w:sz w:val="22"/>
                <w:szCs w:val="22"/>
              </w:rPr>
              <w:t>-vedenti</w:t>
            </w:r>
            <w:proofErr w:type="gramEnd"/>
            <w:r>
              <w:rPr>
                <w:sz w:val="22"/>
                <w:szCs w:val="22"/>
              </w:rPr>
              <w:t xml:space="preserve"> e dovrà quindi essere dotata dei relativi moduli SW e HW necessari a garantirne l’usabilità per queste tipologie di utenze</w:t>
            </w:r>
            <w:r w:rsidR="00D844C6">
              <w:rPr>
                <w:sz w:val="22"/>
                <w:szCs w:val="22"/>
              </w:rPr>
              <w:t xml:space="preserve"> e con la relativa certificazione nazionale per i dispositivi per i non vedenti.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9A9F9D" w14:textId="7CF88C9F" w:rsidR="004E5331" w:rsidRDefault="004E5331" w:rsidP="004E5331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EA048E" w14:textId="77777777" w:rsidR="004E5331" w:rsidRDefault="004E5331" w:rsidP="004E5331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D901B" w14:textId="002671D3" w:rsidR="004E5331" w:rsidRDefault="004E5331" w:rsidP="004E5331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4E5331" w14:paraId="00C11CD0" w14:textId="77777777" w:rsidTr="008451DA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CBFA39" w14:textId="7EECDE65" w:rsidR="004E5331" w:rsidRDefault="004E5331" w:rsidP="004E5331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RF5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4B1055" w14:textId="6637992F" w:rsidR="004E5331" w:rsidRDefault="004E5331" w:rsidP="004E5331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Funzionalità di memo/post-it per agevolare la raccolta delle informazioni da parte degli operatori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BE6C7D" w14:textId="43D37A81" w:rsidR="004E5331" w:rsidRDefault="005301BF" w:rsidP="004E5331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54C88F" w14:textId="77777777" w:rsidR="004E5331" w:rsidRDefault="004E5331" w:rsidP="004E5331">
            <w:pPr>
              <w:spacing w:before="60" w:after="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EE4ED" w14:textId="5E82D4AF" w:rsidR="004E5331" w:rsidRDefault="004E5331" w:rsidP="004E5331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4E5331" w14:paraId="6017AEF1" w14:textId="77777777" w:rsidTr="008451DA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5D8CFC" w14:textId="4B569DD3" w:rsidR="004E5331" w:rsidRDefault="004E5331" w:rsidP="004E5331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  <w:r w:rsidR="00B5298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67292" w14:textId="4249A81F" w:rsidR="004E5331" w:rsidRDefault="004E5331" w:rsidP="004E5331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Servizio notte ovvero possibilità di inoltrare ad un numero di telefono specifico le chiamate che arrivano fuori orario e quando tutti gli operatori sono disconnessi.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960867" w14:textId="1EC3786B" w:rsidR="004E5331" w:rsidRDefault="004E5331" w:rsidP="004E5331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D4E8E" w14:textId="77777777" w:rsidR="004E5331" w:rsidRDefault="004E5331" w:rsidP="004E5331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4B7015" w14:textId="0BE59AF1" w:rsidR="004E5331" w:rsidRDefault="004E5331" w:rsidP="004E5331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  <w:tr w:rsidR="004E5331" w14:paraId="387B69E2" w14:textId="77777777" w:rsidTr="008451DA"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9F412D" w14:textId="5029CEA2" w:rsidR="004E5331" w:rsidRDefault="004E5331" w:rsidP="004E5331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RF</w:t>
            </w:r>
            <w:r w:rsidR="00B5298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9404DD" w14:textId="49A44488" w:rsidR="004E5331" w:rsidRDefault="004E5331" w:rsidP="004E5331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Possibilità di attivare messaggi vocali (IVR) </w:t>
            </w:r>
            <w:r w:rsidR="003F003E">
              <w:rPr>
                <w:sz w:val="22"/>
                <w:szCs w:val="22"/>
              </w:rPr>
              <w:t xml:space="preserve">o musica di attesa </w:t>
            </w:r>
            <w:r>
              <w:rPr>
                <w:sz w:val="22"/>
                <w:szCs w:val="22"/>
              </w:rPr>
              <w:t>per le chiamate in ingresso nelle code o in attesa di essere smistate agli operatori.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8B3786" w14:textId="3894BFB8" w:rsidR="004E5331" w:rsidRDefault="004E5331" w:rsidP="004E5331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DDF415" w14:textId="77777777" w:rsidR="004E5331" w:rsidRDefault="004E5331" w:rsidP="004E5331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E9B2C0" w14:textId="0275BD7C" w:rsidR="004E5331" w:rsidRDefault="004E5331" w:rsidP="004E5331">
            <w:pPr>
              <w:spacing w:before="60" w:after="144"/>
              <w:jc w:val="both"/>
              <w:rPr>
                <w:sz w:val="22"/>
                <w:szCs w:val="22"/>
              </w:rPr>
            </w:pPr>
          </w:p>
        </w:tc>
      </w:tr>
    </w:tbl>
    <w:p w14:paraId="43B7CF83" w14:textId="77777777" w:rsidR="002D4810" w:rsidRDefault="002D4810">
      <w:pPr>
        <w:spacing w:before="144" w:after="60"/>
        <w:jc w:val="both"/>
        <w:rPr>
          <w:b/>
          <w:color w:val="FF3333"/>
          <w:u w:val="single"/>
        </w:rPr>
      </w:pPr>
    </w:p>
    <w:p w14:paraId="428FC3D2" w14:textId="77777777" w:rsidR="002D4810" w:rsidRDefault="002D4810">
      <w:pPr>
        <w:rPr>
          <w:b/>
          <w:color w:val="FF3333"/>
          <w:u w:val="single"/>
        </w:rPr>
      </w:pPr>
      <w:r>
        <w:rPr>
          <w:b/>
          <w:color w:val="FF3333"/>
          <w:u w:val="single"/>
        </w:rPr>
        <w:br w:type="page"/>
      </w:r>
    </w:p>
    <w:p w14:paraId="1152987C" w14:textId="77777777" w:rsidR="00F62B10" w:rsidRDefault="008451DA">
      <w:pPr>
        <w:spacing w:before="144" w:after="6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Requisiti non funzionali </w:t>
      </w:r>
    </w:p>
    <w:p w14:paraId="28B08CD0" w14:textId="77777777" w:rsidR="00F62B10" w:rsidRDefault="008451DA">
      <w:pPr>
        <w:spacing w:before="144" w:after="120"/>
        <w:jc w:val="both"/>
      </w:pPr>
      <w:r>
        <w:rPr>
          <w:bCs/>
          <w:sz w:val="22"/>
          <w:szCs w:val="22"/>
        </w:rPr>
        <w:t xml:space="preserve">I requisiti “non funzionali” includono requisiti tecnici o di servizio. </w:t>
      </w:r>
    </w:p>
    <w:p w14:paraId="1816D125" w14:textId="77777777" w:rsidR="00F62B10" w:rsidRDefault="00F62B10">
      <w:pPr>
        <w:jc w:val="both"/>
      </w:pPr>
    </w:p>
    <w:tbl>
      <w:tblPr>
        <w:tblStyle w:val="Grigliatabella"/>
        <w:tblW w:w="4950" w:type="pct"/>
        <w:tblLook w:val="04A0" w:firstRow="1" w:lastRow="0" w:firstColumn="1" w:lastColumn="0" w:noHBand="0" w:noVBand="1"/>
      </w:tblPr>
      <w:tblGrid>
        <w:gridCol w:w="1814"/>
        <w:gridCol w:w="1059"/>
        <w:gridCol w:w="6061"/>
        <w:gridCol w:w="1585"/>
        <w:gridCol w:w="1249"/>
        <w:gridCol w:w="2817"/>
      </w:tblGrid>
      <w:tr w:rsidR="00F62B10" w14:paraId="374D9B32" w14:textId="77777777" w:rsidTr="007F6B84">
        <w:trPr>
          <w:trHeight w:val="588"/>
          <w:tblHeader/>
        </w:trPr>
        <w:tc>
          <w:tcPr>
            <w:tcW w:w="1814" w:type="dxa"/>
            <w:shd w:val="clear" w:color="auto" w:fill="D9E2F3"/>
            <w:tcMar>
              <w:left w:w="108" w:type="dxa"/>
            </w:tcMar>
          </w:tcPr>
          <w:p w14:paraId="3E623A27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Classe del Requisito</w:t>
            </w:r>
          </w:p>
        </w:tc>
        <w:tc>
          <w:tcPr>
            <w:tcW w:w="1059" w:type="dxa"/>
            <w:shd w:val="clear" w:color="auto" w:fill="D9E2F3"/>
            <w:tcMar>
              <w:left w:w="108" w:type="dxa"/>
            </w:tcMar>
            <w:vAlign w:val="center"/>
          </w:tcPr>
          <w:p w14:paraId="595DCF78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6061" w:type="dxa"/>
            <w:shd w:val="clear" w:color="auto" w:fill="D9E2F3"/>
            <w:tcMar>
              <w:left w:w="108" w:type="dxa"/>
            </w:tcMar>
            <w:vAlign w:val="center"/>
          </w:tcPr>
          <w:p w14:paraId="7EED1E9C" w14:textId="77777777" w:rsidR="00F62B10" w:rsidRDefault="008451DA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Requisito tecnico, architetturale, infrastrutturale e non funzionale (RNF)</w:t>
            </w:r>
          </w:p>
        </w:tc>
        <w:tc>
          <w:tcPr>
            <w:tcW w:w="1585" w:type="dxa"/>
            <w:shd w:val="clear" w:color="auto" w:fill="D9E2F3"/>
            <w:tcMar>
              <w:left w:w="108" w:type="dxa"/>
            </w:tcMar>
            <w:vAlign w:val="center"/>
          </w:tcPr>
          <w:p w14:paraId="69BC35B7" w14:textId="77777777" w:rsidR="00F62B10" w:rsidRDefault="008451D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Obbligatorio (O) </w:t>
            </w:r>
          </w:p>
          <w:p w14:paraId="77249986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Informativo(I)</w:t>
            </w:r>
          </w:p>
        </w:tc>
        <w:tc>
          <w:tcPr>
            <w:tcW w:w="1249" w:type="dxa"/>
            <w:shd w:val="clear" w:color="auto" w:fill="D9E2F3"/>
            <w:tcMar>
              <w:left w:w="108" w:type="dxa"/>
            </w:tcMar>
            <w:vAlign w:val="center"/>
          </w:tcPr>
          <w:p w14:paraId="5222B379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Requisito soddisfatto </w:t>
            </w:r>
          </w:p>
        </w:tc>
        <w:tc>
          <w:tcPr>
            <w:tcW w:w="2817" w:type="dxa"/>
            <w:shd w:val="clear" w:color="auto" w:fill="D9E2F3"/>
            <w:tcMar>
              <w:left w:w="108" w:type="dxa"/>
            </w:tcMar>
            <w:vAlign w:val="center"/>
          </w:tcPr>
          <w:p w14:paraId="184C044C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Note </w:t>
            </w:r>
          </w:p>
        </w:tc>
      </w:tr>
      <w:tr w:rsidR="00F62B10" w14:paraId="48EF6E9C" w14:textId="77777777" w:rsidTr="007F6B84">
        <w:trPr>
          <w:trHeight w:val="876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3747A0DC" w14:textId="58CC53C0" w:rsidR="00F62B10" w:rsidRDefault="00EF4CE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Documentazione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51F2EDA4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RNF1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6F937E9F" w14:textId="62379264" w:rsidR="00F62B10" w:rsidRDefault="008451D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Internamente alla documentazione sono indicate chiaramente le caratteristiche tecniche minime della postazione di lavoro lato utente necessarie per l’accesso al sistema (Sistemi Operativi, Browser, Plug-in, ecc.)</w:t>
            </w:r>
            <w:r w:rsidR="00801EE3">
              <w:rPr>
                <w:sz w:val="22"/>
                <w:szCs w:val="22"/>
              </w:rPr>
              <w:t xml:space="preserve"> e delle modalità di utilizzo dei servizi telefonici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086D95FF" w14:textId="330E94AE" w:rsidR="00F62B10" w:rsidRDefault="001A0DB6">
            <w:pPr>
              <w:jc w:val="center"/>
            </w:pPr>
            <w:r>
              <w:t>I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6F201167" w14:textId="77777777" w:rsidR="00F62B10" w:rsidRDefault="008451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3C489E58" w14:textId="77777777" w:rsidR="00F62B10" w:rsidRPr="00691A0C" w:rsidRDefault="008451DA">
            <w:pPr>
              <w:jc w:val="both"/>
              <w:rPr>
                <w:b/>
                <w:sz w:val="22"/>
                <w:szCs w:val="22"/>
              </w:rPr>
            </w:pPr>
            <w:r w:rsidRPr="00691A0C">
              <w:rPr>
                <w:b/>
                <w:sz w:val="22"/>
                <w:szCs w:val="22"/>
              </w:rPr>
              <w:t> </w:t>
            </w:r>
          </w:p>
        </w:tc>
      </w:tr>
      <w:tr w:rsidR="006525E9" w14:paraId="04E0D583" w14:textId="77777777" w:rsidTr="007F6B84">
        <w:trPr>
          <w:trHeight w:val="876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24732BF1" w14:textId="51E34864" w:rsidR="006525E9" w:rsidRDefault="006525E9" w:rsidP="006525E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Infrastruttura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71698B26" w14:textId="77777777" w:rsidR="006525E9" w:rsidRDefault="006525E9" w:rsidP="006525E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RNF2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790C1F65" w14:textId="620AD63A" w:rsidR="006525E9" w:rsidRDefault="00C6418D" w:rsidP="006525E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A61EE">
              <w:rPr>
                <w:sz w:val="22"/>
                <w:szCs w:val="22"/>
              </w:rPr>
              <w:t xml:space="preserve">La soluzione dovrà permettere la configurazione di un </w:t>
            </w:r>
            <w:proofErr w:type="spellStart"/>
            <w:r w:rsidRPr="002A61EE">
              <w:rPr>
                <w:sz w:val="22"/>
                <w:szCs w:val="22"/>
              </w:rPr>
              <w:t>trunk</w:t>
            </w:r>
            <w:proofErr w:type="spellEnd"/>
            <w:r w:rsidRPr="002A61EE">
              <w:rPr>
                <w:sz w:val="22"/>
                <w:szCs w:val="22"/>
              </w:rPr>
              <w:t xml:space="preserve"> SIP di connessione tra i SIP proxy servers della piattaforma VoIP </w:t>
            </w:r>
            <w:proofErr w:type="spellStart"/>
            <w:r w:rsidRPr="002A61EE">
              <w:rPr>
                <w:sz w:val="22"/>
                <w:szCs w:val="22"/>
              </w:rPr>
              <w:t>Sipxcom</w:t>
            </w:r>
            <w:proofErr w:type="spellEnd"/>
            <w:r w:rsidR="00373BE8">
              <w:rPr>
                <w:sz w:val="22"/>
                <w:szCs w:val="22"/>
              </w:rPr>
              <w:t xml:space="preserve"> (</w:t>
            </w:r>
            <w:r w:rsidR="00492008" w:rsidRPr="00492008">
              <w:rPr>
                <w:sz w:val="22"/>
                <w:szCs w:val="22"/>
              </w:rPr>
              <w:t>http://wiki.sipxcom.org/</w:t>
            </w:r>
            <w:r w:rsidR="00492008">
              <w:rPr>
                <w:sz w:val="22"/>
                <w:szCs w:val="22"/>
              </w:rPr>
              <w:t>)</w:t>
            </w:r>
            <w:r w:rsidRPr="002A61EE">
              <w:rPr>
                <w:sz w:val="22"/>
                <w:szCs w:val="22"/>
              </w:rPr>
              <w:t xml:space="preserve"> e il server (o i server) che eroga il servizio di accodamento e distribuzione delle chiamate </w:t>
            </w:r>
            <w:r>
              <w:rPr>
                <w:sz w:val="22"/>
                <w:szCs w:val="22"/>
              </w:rPr>
              <w:t xml:space="preserve">(call </w:t>
            </w:r>
            <w:proofErr w:type="spellStart"/>
            <w:r>
              <w:rPr>
                <w:sz w:val="22"/>
                <w:szCs w:val="22"/>
              </w:rPr>
              <w:t>queuing</w:t>
            </w:r>
            <w:proofErr w:type="spellEnd"/>
            <w:r>
              <w:rPr>
                <w:sz w:val="22"/>
                <w:szCs w:val="22"/>
              </w:rPr>
              <w:t xml:space="preserve"> e ACD) </w:t>
            </w:r>
            <w:r w:rsidRPr="002A61EE">
              <w:rPr>
                <w:sz w:val="22"/>
                <w:szCs w:val="22"/>
              </w:rPr>
              <w:t>verso i posti operatore</w:t>
            </w:r>
            <w:r>
              <w:rPr>
                <w:sz w:val="22"/>
                <w:szCs w:val="22"/>
              </w:rPr>
              <w:t xml:space="preserve">. </w:t>
            </w:r>
            <w:r w:rsidR="00492008">
              <w:rPr>
                <w:sz w:val="22"/>
                <w:szCs w:val="22"/>
              </w:rPr>
              <w:t xml:space="preserve">Il SIP PBX </w:t>
            </w:r>
            <w:proofErr w:type="spellStart"/>
            <w:r w:rsidR="00492008">
              <w:rPr>
                <w:sz w:val="22"/>
                <w:szCs w:val="22"/>
              </w:rPr>
              <w:t>Sipxcom</w:t>
            </w:r>
            <w:proofErr w:type="spellEnd"/>
            <w:r w:rsidRPr="00C6418D">
              <w:rPr>
                <w:sz w:val="22"/>
                <w:szCs w:val="22"/>
              </w:rPr>
              <w:t xml:space="preserve"> </w:t>
            </w:r>
            <w:r w:rsidR="00492008">
              <w:rPr>
                <w:sz w:val="22"/>
                <w:szCs w:val="22"/>
              </w:rPr>
              <w:t>inoltrerà m</w:t>
            </w:r>
            <w:r w:rsidRPr="00C6418D">
              <w:rPr>
                <w:sz w:val="22"/>
                <w:szCs w:val="22"/>
              </w:rPr>
              <w:t xml:space="preserve">ediante il </w:t>
            </w:r>
            <w:proofErr w:type="spellStart"/>
            <w:r w:rsidRPr="00C6418D">
              <w:rPr>
                <w:sz w:val="22"/>
                <w:szCs w:val="22"/>
              </w:rPr>
              <w:t>trunk</w:t>
            </w:r>
            <w:proofErr w:type="spellEnd"/>
            <w:r w:rsidRPr="00C6418D">
              <w:rPr>
                <w:sz w:val="22"/>
                <w:szCs w:val="22"/>
              </w:rPr>
              <w:t xml:space="preserve"> SIP le chiamate destinate all’interno assegnato al servizio di posto operatore; tutti i successivi servizi telefonici di accodamento, inoltro, messa in attesa, musica/messaggio su attesa, </w:t>
            </w:r>
            <w:proofErr w:type="gramStart"/>
            <w:r w:rsidRPr="00C6418D">
              <w:rPr>
                <w:sz w:val="22"/>
                <w:szCs w:val="22"/>
              </w:rPr>
              <w:t>ecc..</w:t>
            </w:r>
            <w:proofErr w:type="gramEnd"/>
            <w:r w:rsidRPr="00C6418D">
              <w:rPr>
                <w:sz w:val="22"/>
                <w:szCs w:val="22"/>
              </w:rPr>
              <w:t xml:space="preserve"> devono essere garantiti dal server dei P.O. per permettere un reale disaccoppiamento tra i due sistemi.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611D69CA" w14:textId="3374005A" w:rsidR="006525E9" w:rsidRDefault="00801EE3" w:rsidP="006525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40704D37" w14:textId="77777777" w:rsidR="006525E9" w:rsidRDefault="006525E9" w:rsidP="006525E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2F4F00DC" w14:textId="7BE01699" w:rsidR="006525E9" w:rsidRPr="00691A0C" w:rsidRDefault="006525E9" w:rsidP="006525E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525E9" w14:paraId="6D44F5F6" w14:textId="77777777" w:rsidTr="007F6B84">
        <w:trPr>
          <w:trHeight w:val="1452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406BB10C" w14:textId="54EA82BB" w:rsidR="006525E9" w:rsidRPr="00EF4CE8" w:rsidRDefault="006525E9" w:rsidP="006525E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Infrastruttura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7E73E482" w14:textId="77777777" w:rsidR="006525E9" w:rsidRDefault="006525E9" w:rsidP="006525E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RNF3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3F12568C" w14:textId="750B361C" w:rsidR="006525E9" w:rsidRDefault="00C6418D" w:rsidP="006525E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Integrazione della rubrica dei posti operatore con il repository aziendale: possibilità di schedulare import di file .</w:t>
            </w:r>
            <w:proofErr w:type="spellStart"/>
            <w:r>
              <w:rPr>
                <w:sz w:val="22"/>
                <w:szCs w:val="22"/>
              </w:rPr>
              <w:t>csv</w:t>
            </w:r>
            <w:proofErr w:type="spellEnd"/>
            <w:r>
              <w:rPr>
                <w:sz w:val="22"/>
                <w:szCs w:val="22"/>
              </w:rPr>
              <w:t xml:space="preserve"> contente i contatti della rubrica o interrogazione con il DB aziendale (DB</w:t>
            </w:r>
            <w:r w:rsidR="003E2F8D">
              <w:rPr>
                <w:sz w:val="22"/>
                <w:szCs w:val="22"/>
              </w:rPr>
              <w:t xml:space="preserve"> e/o LDAP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3D8F147F" w14:textId="24D9B544" w:rsidR="006525E9" w:rsidRDefault="00EC5FE8" w:rsidP="006525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35122B99" w14:textId="77777777" w:rsidR="006525E9" w:rsidRDefault="006525E9" w:rsidP="006525E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151F4FCC" w14:textId="28CB5531" w:rsidR="006525E9" w:rsidRPr="00024796" w:rsidRDefault="00024796" w:rsidP="006525E9">
            <w:pPr>
              <w:jc w:val="both"/>
              <w:rPr>
                <w:bCs/>
                <w:sz w:val="22"/>
                <w:szCs w:val="22"/>
              </w:rPr>
            </w:pPr>
            <w:r w:rsidRPr="00024796">
              <w:rPr>
                <w:bCs/>
                <w:sz w:val="22"/>
                <w:szCs w:val="22"/>
              </w:rPr>
              <w:t>Indicare quale metodologia di integrazione è supportata e con quali DB/LDAP è garantita.</w:t>
            </w:r>
          </w:p>
        </w:tc>
      </w:tr>
      <w:tr w:rsidR="006525E9" w14:paraId="6F907A4E" w14:textId="77777777" w:rsidTr="007F6B84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099CC8B2" w14:textId="5A9BFD7B" w:rsidR="006525E9" w:rsidRDefault="000261D5" w:rsidP="006525E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Infrastruttura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5ECBFE8C" w14:textId="77777777" w:rsidR="006525E9" w:rsidRDefault="006525E9" w:rsidP="006525E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RNF4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52F12F4E" w14:textId="28CC4B7F" w:rsidR="006525E9" w:rsidRDefault="000261D5" w:rsidP="006525E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gestione delle chiamate</w:t>
            </w:r>
            <w:r w:rsidR="003D5778">
              <w:rPr>
                <w:sz w:val="22"/>
                <w:szCs w:val="22"/>
              </w:rPr>
              <w:t xml:space="preserve"> da parte dei P.O.</w:t>
            </w:r>
            <w:r>
              <w:rPr>
                <w:sz w:val="22"/>
                <w:szCs w:val="22"/>
              </w:rPr>
              <w:t xml:space="preserve"> deve essere effettuata unicamente tramite l’applicazione proposta e non deve richiedere la presenza di altri terminali HW (es: console specifiche o telefoni IP di appoggio)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09B09323" w14:textId="77777777" w:rsidR="006525E9" w:rsidRDefault="006525E9" w:rsidP="006525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56096A59" w14:textId="77777777" w:rsidR="006525E9" w:rsidRDefault="006525E9" w:rsidP="006525E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4241C0DB" w14:textId="1A1D658B" w:rsidR="006525E9" w:rsidRPr="00691A0C" w:rsidRDefault="006525E9" w:rsidP="006525E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94DA3" w14:paraId="322D8BD5" w14:textId="77777777" w:rsidTr="007F6B84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5E909943" w14:textId="28E88C8F" w:rsidR="00A94DA3" w:rsidRDefault="00A94DA3" w:rsidP="00A94D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Infrastruttura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6C549A25" w14:textId="7A0ACD62" w:rsidR="00A94DA3" w:rsidRDefault="00A94DA3" w:rsidP="00A94DA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RNF5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04AA727C" w14:textId="662898E1" w:rsidR="00A94DA3" w:rsidRPr="00C05E7B" w:rsidRDefault="003C37B3" w:rsidP="00A94DA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05E7B">
              <w:rPr>
                <w:sz w:val="22"/>
                <w:szCs w:val="22"/>
              </w:rPr>
              <w:t>Le componenti server della piattaforma che gestiscono l’accodamento e la distribuzione delle chiamate verso i P.O. devono essere virtualizzabili su ambiente V</w:t>
            </w:r>
            <w:r w:rsidR="00CC2E0E" w:rsidRPr="00C05E7B">
              <w:rPr>
                <w:sz w:val="22"/>
                <w:szCs w:val="22"/>
              </w:rPr>
              <w:t>M</w:t>
            </w:r>
            <w:r w:rsidR="00C05E7B" w:rsidRPr="00C05E7B">
              <w:rPr>
                <w:sz w:val="22"/>
                <w:szCs w:val="22"/>
              </w:rPr>
              <w:t>w</w:t>
            </w:r>
            <w:r w:rsidRPr="00C05E7B">
              <w:rPr>
                <w:sz w:val="22"/>
                <w:szCs w:val="22"/>
              </w:rPr>
              <w:t>are</w:t>
            </w:r>
            <w:r w:rsidR="00CC2E0E" w:rsidRPr="00C05E7B">
              <w:rPr>
                <w:sz w:val="22"/>
                <w:szCs w:val="22"/>
              </w:rPr>
              <w:t xml:space="preserve"> o </w:t>
            </w:r>
            <w:proofErr w:type="spellStart"/>
            <w:r w:rsidR="00CC2E0E" w:rsidRPr="00C05E7B">
              <w:rPr>
                <w:sz w:val="22"/>
                <w:szCs w:val="22"/>
              </w:rPr>
              <w:t>HyperV</w:t>
            </w:r>
            <w:proofErr w:type="spellEnd"/>
            <w:r w:rsidR="00C05E7B"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19F6A809" w14:textId="0EDEC08A" w:rsidR="00A94DA3" w:rsidRDefault="00CC2E0E" w:rsidP="00A94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26992276" w14:textId="77777777" w:rsidR="00A94DA3" w:rsidRDefault="00A94DA3" w:rsidP="00A94D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5BCBBD64" w14:textId="08410198" w:rsidR="00A94DA3" w:rsidRPr="00C05E7B" w:rsidRDefault="004F6BBA" w:rsidP="00A94DA3">
            <w:pPr>
              <w:jc w:val="both"/>
              <w:rPr>
                <w:bCs/>
                <w:sz w:val="22"/>
                <w:szCs w:val="22"/>
              </w:rPr>
            </w:pPr>
            <w:r w:rsidRPr="00C05E7B">
              <w:rPr>
                <w:bCs/>
                <w:sz w:val="22"/>
                <w:szCs w:val="22"/>
              </w:rPr>
              <w:t xml:space="preserve">Indicare quali versioni VMware o </w:t>
            </w:r>
            <w:proofErr w:type="spellStart"/>
            <w:r w:rsidR="00C05E7B" w:rsidRPr="00C05E7B">
              <w:rPr>
                <w:bCs/>
                <w:sz w:val="22"/>
                <w:szCs w:val="22"/>
              </w:rPr>
              <w:t>HyperV</w:t>
            </w:r>
            <w:proofErr w:type="spellEnd"/>
            <w:r w:rsidR="00C05E7B" w:rsidRPr="00C05E7B">
              <w:rPr>
                <w:bCs/>
                <w:sz w:val="22"/>
                <w:szCs w:val="22"/>
              </w:rPr>
              <w:t xml:space="preserve"> sono supportate</w:t>
            </w:r>
          </w:p>
        </w:tc>
      </w:tr>
      <w:tr w:rsidR="00DC0D59" w14:paraId="2259BD4E" w14:textId="77777777" w:rsidTr="007F6B84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59BC42FC" w14:textId="069B84D0" w:rsidR="00DC0D59" w:rsidRDefault="00DC0D59" w:rsidP="00DC0D5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Infrastruttura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2662AD31" w14:textId="2472A5F2" w:rsidR="00DC0D59" w:rsidRDefault="00DC0D59" w:rsidP="00DC0D5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RNF6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329AFD01" w14:textId="2DBC7FDD" w:rsidR="00DC0D59" w:rsidRDefault="008B32A5" w:rsidP="00DC0D5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soluzione è “Multi-</w:t>
            </w:r>
            <w:proofErr w:type="spellStart"/>
            <w:r>
              <w:rPr>
                <w:sz w:val="22"/>
                <w:szCs w:val="22"/>
              </w:rPr>
              <w:t>Tenant</w:t>
            </w:r>
            <w:proofErr w:type="spellEnd"/>
            <w:r>
              <w:rPr>
                <w:sz w:val="22"/>
                <w:szCs w:val="22"/>
              </w:rPr>
              <w:t>”, cioè è possibile utilizzare la medesima piattaforma per gestire postazioni P.O. di clienti differenti co</w:t>
            </w:r>
            <w:r w:rsidR="00C34663">
              <w:rPr>
                <w:sz w:val="22"/>
                <w:szCs w:val="22"/>
              </w:rPr>
              <w:t>n diverse personalizzazioni dei servizi e pian</w:t>
            </w:r>
            <w:r w:rsidR="0002192E">
              <w:rPr>
                <w:sz w:val="22"/>
                <w:szCs w:val="22"/>
              </w:rPr>
              <w:t>i</w:t>
            </w:r>
            <w:r w:rsidR="00C34663">
              <w:rPr>
                <w:sz w:val="22"/>
                <w:szCs w:val="22"/>
              </w:rPr>
              <w:t xml:space="preserve"> di numerazione telefonic</w:t>
            </w:r>
            <w:r w:rsidR="0002192E">
              <w:rPr>
                <w:sz w:val="22"/>
                <w:szCs w:val="22"/>
              </w:rPr>
              <w:t>a distinti</w:t>
            </w:r>
            <w:r w:rsidR="00C34663"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7EE8DEC9" w14:textId="23EBF506" w:rsidR="00DC0D59" w:rsidRDefault="005301BF" w:rsidP="00DC0D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46B7B38A" w14:textId="77777777" w:rsidR="00DC0D59" w:rsidRDefault="00DC0D59" w:rsidP="00DC0D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106F8BFA" w14:textId="77777777" w:rsidR="00DC0D59" w:rsidRPr="00691A0C" w:rsidRDefault="00DC0D59" w:rsidP="00DC0D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C0D59" w14:paraId="3C832561" w14:textId="77777777" w:rsidTr="007F6B84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14B0FFFE" w14:textId="03197B80" w:rsidR="00DC0D59" w:rsidRDefault="00DC0D59" w:rsidP="00DC0D5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Topologia di rete e Mobilità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65597E46" w14:textId="1EC885F7" w:rsidR="00DC0D59" w:rsidRDefault="00DC0D59" w:rsidP="00DC0D5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RNF7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354E3CD1" w14:textId="78311CB4" w:rsidR="00DC0D59" w:rsidRDefault="00DC0D59" w:rsidP="00DC0D5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soluzione non deve essere vincolata ad una specifica configurazione di rete per garantire la mobilità</w:t>
            </w:r>
            <w:r w:rsidR="00405FDD">
              <w:rPr>
                <w:sz w:val="22"/>
                <w:szCs w:val="22"/>
              </w:rPr>
              <w:t xml:space="preserve"> (smart </w:t>
            </w:r>
            <w:proofErr w:type="spellStart"/>
            <w:r w:rsidR="00405FDD">
              <w:rPr>
                <w:sz w:val="22"/>
                <w:szCs w:val="22"/>
              </w:rPr>
              <w:t>working</w:t>
            </w:r>
            <w:proofErr w:type="spellEnd"/>
            <w:r w:rsidR="00405F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In particolare</w:t>
            </w:r>
            <w:proofErr w:type="gramEnd"/>
            <w:r>
              <w:rPr>
                <w:sz w:val="22"/>
                <w:szCs w:val="22"/>
              </w:rPr>
              <w:t xml:space="preserve"> deve essere permesso che uno stesso P.O. possa connettersi attraverso differenti accessi di rete (es: rete aziendale, VPN, </w:t>
            </w:r>
            <w:r w:rsidR="00C66E5C">
              <w:rPr>
                <w:sz w:val="22"/>
                <w:szCs w:val="22"/>
              </w:rPr>
              <w:t xml:space="preserve">Internet tramite SBC, </w:t>
            </w:r>
            <w:r>
              <w:rPr>
                <w:sz w:val="22"/>
                <w:szCs w:val="22"/>
              </w:rPr>
              <w:t>ecc.)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157FDB4C" w14:textId="4328C3BE" w:rsidR="00DC0D59" w:rsidRDefault="007668A6" w:rsidP="00DC0D59">
            <w:pPr>
              <w:jc w:val="center"/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650C9D04" w14:textId="77777777" w:rsidR="00DC0D59" w:rsidRDefault="00DC0D59" w:rsidP="00DC0D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2FF09B50" w14:textId="77777777" w:rsidR="00DC0D59" w:rsidRPr="00691A0C" w:rsidRDefault="00DC0D59" w:rsidP="00DC0D59">
            <w:pPr>
              <w:jc w:val="both"/>
              <w:rPr>
                <w:b/>
                <w:sz w:val="22"/>
                <w:szCs w:val="22"/>
              </w:rPr>
            </w:pPr>
            <w:r w:rsidRPr="00691A0C">
              <w:rPr>
                <w:b/>
                <w:sz w:val="22"/>
                <w:szCs w:val="22"/>
              </w:rPr>
              <w:t> </w:t>
            </w:r>
          </w:p>
        </w:tc>
      </w:tr>
      <w:tr w:rsidR="00DC0D59" w14:paraId="200C71DC" w14:textId="77777777" w:rsidTr="007F6B84">
        <w:trPr>
          <w:trHeight w:val="831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0E3DC180" w14:textId="51D6A611" w:rsidR="00DC0D59" w:rsidRDefault="00DC0D59" w:rsidP="00DC0D5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Identità e Gestione accessi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7234F502" w14:textId="51C6BEB2" w:rsidR="00DC0D59" w:rsidRDefault="00DC0D59" w:rsidP="00DC0D5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RNF8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74A83FB1" w14:textId="02B8BE77" w:rsidR="00DC0D59" w:rsidRDefault="00DC0D59" w:rsidP="00DC0D5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soluzione dispone di un sistema di autenticazione e profilazione dei P.O.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75A04DC7" w14:textId="09C2B7F6" w:rsidR="00DC0D59" w:rsidRDefault="008F2C3F" w:rsidP="00DC0D59">
            <w:pPr>
              <w:jc w:val="center"/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21D4BB76" w14:textId="77777777" w:rsidR="00DC0D59" w:rsidRDefault="00DC0D59" w:rsidP="00DC0D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7928748E" w14:textId="77777777" w:rsidR="00DC0D59" w:rsidRPr="00691A0C" w:rsidRDefault="00DC0D59" w:rsidP="00DC0D59">
            <w:pPr>
              <w:jc w:val="both"/>
              <w:rPr>
                <w:b/>
                <w:sz w:val="22"/>
                <w:szCs w:val="22"/>
              </w:rPr>
            </w:pPr>
            <w:r w:rsidRPr="00691A0C">
              <w:rPr>
                <w:b/>
                <w:sz w:val="22"/>
                <w:szCs w:val="22"/>
              </w:rPr>
              <w:t> </w:t>
            </w:r>
          </w:p>
        </w:tc>
      </w:tr>
      <w:tr w:rsidR="00DC0D59" w14:paraId="02BCE451" w14:textId="77777777" w:rsidTr="007F6B84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00FA1111" w14:textId="41363A0F" w:rsidR="00DC0D59" w:rsidRDefault="00DC0D59" w:rsidP="00DC0D5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Portabilità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146D6F5A" w14:textId="427612A4" w:rsidR="00DC0D59" w:rsidRDefault="00DC0D59" w:rsidP="00DC0D5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RNF</w:t>
            </w:r>
            <w:r w:rsidR="005651A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45558FAF" w14:textId="657C3A19" w:rsidR="00DC0D59" w:rsidRDefault="00DC0D59" w:rsidP="00DC0D5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L’applicazione deve essere supportata su PC Desktop o Laptop con S.O. Windows 10 o superiore.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7E76168F" w14:textId="77777777" w:rsidR="00DC0D59" w:rsidRDefault="00DC0D59" w:rsidP="00DC0D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134C565A" w14:textId="77777777" w:rsidR="00DC0D59" w:rsidRDefault="00DC0D59" w:rsidP="00DC0D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72996B79" w14:textId="042B1FE7" w:rsidR="00DC0D59" w:rsidRPr="00691A0C" w:rsidRDefault="00DC0D59" w:rsidP="00DC0D59">
            <w:pPr>
              <w:jc w:val="both"/>
              <w:rPr>
                <w:bCs/>
              </w:rPr>
            </w:pPr>
            <w:r w:rsidRPr="00691A0C">
              <w:rPr>
                <w:bCs/>
                <w:sz w:val="22"/>
                <w:szCs w:val="22"/>
              </w:rPr>
              <w:t>specificare quali</w:t>
            </w:r>
            <w:r>
              <w:rPr>
                <w:bCs/>
                <w:sz w:val="22"/>
                <w:szCs w:val="22"/>
              </w:rPr>
              <w:t xml:space="preserve"> sono i S.O. supportati</w:t>
            </w:r>
          </w:p>
        </w:tc>
      </w:tr>
      <w:tr w:rsidR="00DC0D59" w14:paraId="0BCDA09F" w14:textId="77777777" w:rsidTr="007F6B84">
        <w:trPr>
          <w:trHeight w:val="1452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36B852C5" w14:textId="4DF78535" w:rsidR="00DC0D59" w:rsidRDefault="00DC0D59" w:rsidP="00DC0D5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Portabilità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584C12A0" w14:textId="50685872" w:rsidR="00DC0D59" w:rsidRDefault="00DC0D59" w:rsidP="00DC0D5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RNF1</w:t>
            </w:r>
            <w:r w:rsidR="005651A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797373C4" w14:textId="74112D36" w:rsidR="00DC0D59" w:rsidRDefault="00DC0D59" w:rsidP="00DC0D5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Soluzione è fruibile da parte dell’utente finale attraverso l’utilizzo di web browser di comune diffusione alle versioni stabili e supportate (ad es. Internet Explorer, Mozilla Firefox Chrome, ecc.) ed a quelle future, senza la necessità di prevedere l’installazione di applicativi o plug-in ad hoc sulla macchina client dell’utente finale.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5D2D18C4" w14:textId="286F3F81" w:rsidR="00DC0D59" w:rsidRDefault="005301BF" w:rsidP="00DC0D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261C0D11" w14:textId="77777777" w:rsidR="00DC0D59" w:rsidRDefault="00DC0D59" w:rsidP="00DC0D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1D2E144D" w14:textId="60421EFE" w:rsidR="00DC0D59" w:rsidRPr="00750C8D" w:rsidRDefault="006132D7" w:rsidP="00DC0D59">
            <w:pPr>
              <w:jc w:val="both"/>
              <w:rPr>
                <w:bCs/>
                <w:sz w:val="22"/>
                <w:szCs w:val="22"/>
              </w:rPr>
            </w:pPr>
            <w:r w:rsidRPr="00750C8D">
              <w:rPr>
                <w:bCs/>
                <w:sz w:val="22"/>
                <w:szCs w:val="22"/>
              </w:rPr>
              <w:t xml:space="preserve">Specificare quali browser e le relative versioni sono </w:t>
            </w:r>
            <w:r w:rsidR="00750C8D" w:rsidRPr="00750C8D">
              <w:rPr>
                <w:bCs/>
                <w:sz w:val="22"/>
                <w:szCs w:val="22"/>
              </w:rPr>
              <w:t>supportate</w:t>
            </w:r>
          </w:p>
        </w:tc>
      </w:tr>
      <w:tr w:rsidR="00DC0D59" w14:paraId="5D81AD85" w14:textId="77777777" w:rsidTr="00AA4A1C">
        <w:trPr>
          <w:trHeight w:val="588"/>
        </w:trPr>
        <w:tc>
          <w:tcPr>
            <w:tcW w:w="1814" w:type="dxa"/>
          </w:tcPr>
          <w:p w14:paraId="50996533" w14:textId="2657DCC0" w:rsidR="00DC0D59" w:rsidRDefault="00DC0D59" w:rsidP="00DC0D5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Rispetto degli standard</w:t>
            </w:r>
          </w:p>
        </w:tc>
        <w:tc>
          <w:tcPr>
            <w:tcW w:w="1059" w:type="dxa"/>
          </w:tcPr>
          <w:p w14:paraId="27CC4566" w14:textId="68730472" w:rsidR="00DC0D59" w:rsidRDefault="00DC0D59" w:rsidP="00DC0D5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RNF1</w:t>
            </w:r>
            <w:r w:rsidR="005651A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61" w:type="dxa"/>
          </w:tcPr>
          <w:p w14:paraId="628F14CC" w14:textId="3411BED4" w:rsidR="00DC0D59" w:rsidRDefault="00DC0D59" w:rsidP="00DC0D5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soluzione garantisce la piena compatibilità con lo standard SIP RFC 3261 e relativi. </w:t>
            </w:r>
          </w:p>
        </w:tc>
        <w:tc>
          <w:tcPr>
            <w:tcW w:w="1585" w:type="dxa"/>
          </w:tcPr>
          <w:p w14:paraId="261DBF89" w14:textId="154421EE" w:rsidR="00DC0D59" w:rsidRDefault="00DC0D59" w:rsidP="00DC0D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</w:tcPr>
          <w:p w14:paraId="5E49B40C" w14:textId="77777777" w:rsidR="00DC0D59" w:rsidRDefault="00DC0D59" w:rsidP="00DC0D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</w:tcPr>
          <w:p w14:paraId="4C8D22ED" w14:textId="37E879B0" w:rsidR="00DC0D59" w:rsidRPr="00691A0C" w:rsidRDefault="00DC0D59" w:rsidP="00DC0D59">
            <w:pPr>
              <w:jc w:val="both"/>
              <w:rPr>
                <w:bCs/>
              </w:rPr>
            </w:pPr>
          </w:p>
        </w:tc>
      </w:tr>
      <w:tr w:rsidR="00DC0D59" w14:paraId="09DC2AD4" w14:textId="77777777" w:rsidTr="007F6B84">
        <w:trPr>
          <w:trHeight w:val="876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37B44C56" w14:textId="3FD24211" w:rsidR="00DC0D59" w:rsidRDefault="00DC0D59" w:rsidP="00DC0D5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Sicurezza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1AE15B2F" w14:textId="1F7E7A09" w:rsidR="00DC0D59" w:rsidRDefault="00DC0D59" w:rsidP="00DC0D5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RNF1</w:t>
            </w:r>
            <w:r w:rsidR="005651A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5273C8AE" w14:textId="532103E0" w:rsidR="00DC0D59" w:rsidRDefault="00DC0D59" w:rsidP="00DC0D5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comunicazioni tra il client dei P.O. (applicativo stand-alone o interfaccia Web) e il server di gestione dei P.O. devono avvenire in modalità sicura.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3EE6944D" w14:textId="77777777" w:rsidR="00DC0D59" w:rsidRDefault="00DC0D59" w:rsidP="00DC0D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2ED426B0" w14:textId="77777777" w:rsidR="00DC0D59" w:rsidRDefault="00DC0D59" w:rsidP="00DC0D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1BDD0A2D" w14:textId="7124E437" w:rsidR="00DC0D59" w:rsidRPr="00691A0C" w:rsidRDefault="00DC0D59" w:rsidP="00DC0D5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96308" w14:paraId="0FAD9910" w14:textId="77777777" w:rsidTr="007F6B84">
        <w:trPr>
          <w:trHeight w:val="588"/>
        </w:trPr>
        <w:tc>
          <w:tcPr>
            <w:tcW w:w="1814" w:type="dxa"/>
            <w:shd w:val="clear" w:color="auto" w:fill="auto"/>
            <w:tcMar>
              <w:left w:w="108" w:type="dxa"/>
            </w:tcMar>
          </w:tcPr>
          <w:p w14:paraId="52AD91BB" w14:textId="559B39EA" w:rsidR="00396308" w:rsidRDefault="00790893" w:rsidP="0039630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Gestione e monitoraggio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14:paraId="67BC8C2C" w14:textId="30123DF1" w:rsidR="00396308" w:rsidRDefault="005651A1" w:rsidP="0039630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RNF13</w:t>
            </w:r>
          </w:p>
        </w:tc>
        <w:tc>
          <w:tcPr>
            <w:tcW w:w="6061" w:type="dxa"/>
            <w:shd w:val="clear" w:color="auto" w:fill="auto"/>
            <w:tcMar>
              <w:left w:w="108" w:type="dxa"/>
            </w:tcMar>
          </w:tcPr>
          <w:p w14:paraId="475A5AA3" w14:textId="66AFCA50" w:rsidR="00396308" w:rsidRDefault="00790893" w:rsidP="00396308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soluzione presenta una interfaccia di gestione e monitoraggio per la configurazione di tutti i servizi e la verifica dello stato d</w:t>
            </w:r>
            <w:r w:rsidR="00181EAA">
              <w:rPr>
                <w:sz w:val="22"/>
                <w:szCs w:val="22"/>
              </w:rPr>
              <w:t xml:space="preserve">elle console P.O. (attive o </w:t>
            </w:r>
            <w:proofErr w:type="spellStart"/>
            <w:r w:rsidR="00181EAA">
              <w:rPr>
                <w:sz w:val="22"/>
                <w:szCs w:val="22"/>
              </w:rPr>
              <w:t>disattive</w:t>
            </w:r>
            <w:proofErr w:type="spellEnd"/>
            <w:r w:rsidR="00181EAA">
              <w:rPr>
                <w:sz w:val="22"/>
                <w:szCs w:val="22"/>
              </w:rPr>
              <w:t>)</w:t>
            </w:r>
            <w:r w:rsidR="001B3AB7">
              <w:rPr>
                <w:sz w:val="22"/>
                <w:szCs w:val="22"/>
              </w:rPr>
              <w:t xml:space="preserve"> e</w:t>
            </w:r>
            <w:r w:rsidR="00181EAA">
              <w:rPr>
                <w:sz w:val="22"/>
                <w:szCs w:val="22"/>
              </w:rPr>
              <w:t xml:space="preserve"> dello stato dei servizi applicativi</w:t>
            </w:r>
            <w:r w:rsidR="001B3AB7">
              <w:rPr>
                <w:sz w:val="22"/>
                <w:szCs w:val="22"/>
              </w:rPr>
              <w:t xml:space="preserve"> e di gestione delle chiamate (call </w:t>
            </w:r>
            <w:proofErr w:type="spellStart"/>
            <w:r w:rsidR="001B3AB7">
              <w:rPr>
                <w:sz w:val="22"/>
                <w:szCs w:val="22"/>
              </w:rPr>
              <w:t>que</w:t>
            </w:r>
            <w:r w:rsidR="00274A1C">
              <w:rPr>
                <w:sz w:val="22"/>
                <w:szCs w:val="22"/>
              </w:rPr>
              <w:t>uing</w:t>
            </w:r>
            <w:proofErr w:type="spellEnd"/>
            <w:r w:rsidR="00274A1C">
              <w:rPr>
                <w:sz w:val="22"/>
                <w:szCs w:val="22"/>
              </w:rPr>
              <w:t>, ACD, IVR, ecc.)</w:t>
            </w:r>
            <w:r w:rsidR="00181E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tcMar>
              <w:left w:w="108" w:type="dxa"/>
            </w:tcMar>
          </w:tcPr>
          <w:p w14:paraId="7053F335" w14:textId="5B69FC40" w:rsidR="00396308" w:rsidRDefault="003F6AD3" w:rsidP="003963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49" w:type="dxa"/>
            <w:shd w:val="clear" w:color="auto" w:fill="auto"/>
            <w:tcMar>
              <w:left w:w="108" w:type="dxa"/>
            </w:tcMar>
          </w:tcPr>
          <w:p w14:paraId="5FA629D8" w14:textId="77777777" w:rsidR="00396308" w:rsidRDefault="00396308" w:rsidP="003963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17" w:type="dxa"/>
            <w:shd w:val="clear" w:color="auto" w:fill="auto"/>
            <w:tcMar>
              <w:left w:w="108" w:type="dxa"/>
            </w:tcMar>
          </w:tcPr>
          <w:p w14:paraId="04A02B66" w14:textId="734A179F" w:rsidR="00396308" w:rsidRPr="00691A0C" w:rsidRDefault="00396308" w:rsidP="0039630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B37DA8B" w14:textId="77777777" w:rsidR="00F62B10" w:rsidRDefault="00F62B10">
      <w:pPr>
        <w:jc w:val="both"/>
        <w:rPr>
          <w:b/>
        </w:rPr>
      </w:pPr>
    </w:p>
    <w:p w14:paraId="2B08DFD6" w14:textId="77777777" w:rsidR="006A0758" w:rsidRDefault="006A075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71B733B" w14:textId="3349A342" w:rsidR="00F62B10" w:rsidRDefault="008451D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Modalità di fornitura della soluzione</w:t>
      </w:r>
    </w:p>
    <w:p w14:paraId="53208EFA" w14:textId="77777777" w:rsidR="00F62B10" w:rsidRDefault="00F62B10">
      <w:pPr>
        <w:jc w:val="both"/>
      </w:pPr>
    </w:p>
    <w:tbl>
      <w:tblPr>
        <w:tblStyle w:val="Grigliatabella"/>
        <w:tblW w:w="14600" w:type="dxa"/>
        <w:tblLook w:val="04A0" w:firstRow="1" w:lastRow="0" w:firstColumn="1" w:lastColumn="0" w:noHBand="0" w:noVBand="1"/>
      </w:tblPr>
      <w:tblGrid>
        <w:gridCol w:w="1607"/>
        <w:gridCol w:w="657"/>
        <w:gridCol w:w="6663"/>
        <w:gridCol w:w="1586"/>
        <w:gridCol w:w="1243"/>
        <w:gridCol w:w="2844"/>
      </w:tblGrid>
      <w:tr w:rsidR="00F62B10" w14:paraId="730BA2E7" w14:textId="77777777" w:rsidTr="00ED2FBE">
        <w:trPr>
          <w:trHeight w:val="564"/>
          <w:tblHeader/>
        </w:trPr>
        <w:tc>
          <w:tcPr>
            <w:tcW w:w="1607" w:type="dxa"/>
            <w:shd w:val="clear" w:color="auto" w:fill="D9E2F3"/>
            <w:tcMar>
              <w:left w:w="108" w:type="dxa"/>
            </w:tcMar>
          </w:tcPr>
          <w:p w14:paraId="2319DFEB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Classe del Requisito</w:t>
            </w:r>
          </w:p>
        </w:tc>
        <w:tc>
          <w:tcPr>
            <w:tcW w:w="657" w:type="dxa"/>
            <w:shd w:val="clear" w:color="auto" w:fill="D9E2F3"/>
            <w:tcMar>
              <w:left w:w="108" w:type="dxa"/>
            </w:tcMar>
            <w:vAlign w:val="center"/>
          </w:tcPr>
          <w:p w14:paraId="32AFFEB5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6663" w:type="dxa"/>
            <w:shd w:val="clear" w:color="auto" w:fill="D9E2F3"/>
            <w:tcMar>
              <w:left w:w="108" w:type="dxa"/>
            </w:tcMar>
            <w:vAlign w:val="center"/>
          </w:tcPr>
          <w:p w14:paraId="24CB3268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Modalità di fornitura (MF)</w:t>
            </w:r>
          </w:p>
        </w:tc>
        <w:tc>
          <w:tcPr>
            <w:tcW w:w="1586" w:type="dxa"/>
            <w:shd w:val="clear" w:color="auto" w:fill="D9E2F3"/>
            <w:tcMar>
              <w:left w:w="108" w:type="dxa"/>
            </w:tcMar>
            <w:vAlign w:val="center"/>
          </w:tcPr>
          <w:p w14:paraId="225992A7" w14:textId="77777777" w:rsidR="00F62B10" w:rsidRDefault="008451DA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Obbligatorio (O) </w:t>
            </w:r>
          </w:p>
          <w:p w14:paraId="1DA515E2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Informativo(I)</w:t>
            </w:r>
          </w:p>
        </w:tc>
        <w:tc>
          <w:tcPr>
            <w:tcW w:w="1243" w:type="dxa"/>
            <w:shd w:val="clear" w:color="auto" w:fill="D9E2F3"/>
            <w:tcMar>
              <w:left w:w="108" w:type="dxa"/>
            </w:tcMar>
            <w:vAlign w:val="center"/>
          </w:tcPr>
          <w:p w14:paraId="614550D9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Requisito soddisfatto </w:t>
            </w:r>
          </w:p>
        </w:tc>
        <w:tc>
          <w:tcPr>
            <w:tcW w:w="2844" w:type="dxa"/>
            <w:shd w:val="clear" w:color="auto" w:fill="D9E2F3"/>
            <w:tcMar>
              <w:left w:w="108" w:type="dxa"/>
            </w:tcMar>
            <w:vAlign w:val="center"/>
          </w:tcPr>
          <w:p w14:paraId="3B3B7531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F62B10" w14:paraId="577100E6" w14:textId="77777777" w:rsidTr="00ED2FBE">
        <w:trPr>
          <w:trHeight w:val="324"/>
        </w:trPr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20756A69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53800699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L1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718A0E38" w14:textId="3133E8CA" w:rsidR="00F62B10" w:rsidRDefault="001028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Modalità di licensing a tempo indeterminato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14:paraId="58507719" w14:textId="406BFD71" w:rsidR="00F62B10" w:rsidRDefault="00FC48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21F5E48F" w14:textId="77777777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14:paraId="714DF9B1" w14:textId="168485B4" w:rsidR="00F62B10" w:rsidRDefault="001028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Specificare la modalità di licensing</w:t>
            </w:r>
            <w:r w:rsidR="00C071C4">
              <w:rPr>
                <w:sz w:val="22"/>
                <w:szCs w:val="22"/>
              </w:rPr>
              <w:t xml:space="preserve"> (indeterminato o </w:t>
            </w:r>
            <w:proofErr w:type="spellStart"/>
            <w:r w:rsidR="00C071C4">
              <w:rPr>
                <w:sz w:val="22"/>
                <w:szCs w:val="22"/>
              </w:rPr>
              <w:t>subscription</w:t>
            </w:r>
            <w:proofErr w:type="spellEnd"/>
            <w:r w:rsidR="00C071C4">
              <w:rPr>
                <w:sz w:val="22"/>
                <w:szCs w:val="22"/>
              </w:rPr>
              <w:t xml:space="preserve"> annuale/pluriennale)</w:t>
            </w:r>
          </w:p>
        </w:tc>
      </w:tr>
      <w:tr w:rsidR="00F62B10" w14:paraId="16BC3F86" w14:textId="77777777" w:rsidTr="00ED2FBE">
        <w:trPr>
          <w:trHeight w:val="636"/>
        </w:trPr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4726C2A1" w14:textId="4FC0DED2" w:rsidR="00F62B10" w:rsidRDefault="00FC488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350573BB" w14:textId="7381412C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1473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2D358D39" w14:textId="77777777" w:rsidR="00F62B10" w:rsidRDefault="0084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soluzione proposta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non prevede limiti relativi alla possibilità in capo al licenziatario di erogare servizi a terzi, quantomeno con riferimento agli enti clienti del CSI-Piemonte 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14:paraId="7A7797B3" w14:textId="742ED362" w:rsidR="00F62B10" w:rsidRDefault="00FC48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59039F9E" w14:textId="77777777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14:paraId="7B0F5852" w14:textId="4F6ABE75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</w:tr>
      <w:tr w:rsidR="00F62B10" w14:paraId="45E32F17" w14:textId="77777777" w:rsidTr="00ED2FBE">
        <w:trPr>
          <w:trHeight w:val="636"/>
        </w:trPr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4EDDA35D" w14:textId="31DA051A" w:rsidR="00F62B10" w:rsidRDefault="00FC488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657" w:type="dxa"/>
            <w:shd w:val="clear" w:color="auto" w:fill="auto"/>
            <w:tcMar>
              <w:left w:w="108" w:type="dxa"/>
            </w:tcMar>
          </w:tcPr>
          <w:p w14:paraId="27D0FCA8" w14:textId="15FCB172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D34A0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177972A7" w14:textId="43E864D3" w:rsidR="00F62B10" w:rsidRDefault="008451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relazione al requisito precedente L</w:t>
            </w:r>
            <w:r w:rsidR="00D34A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la soluzione consente comunque la fruizione delle funzionalità utente – anche sotto forma di servizio - non solo al CSI Piemonte ma anche ai suoi Enti clienti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14:paraId="29303E4C" w14:textId="458E67BA" w:rsidR="00F62B10" w:rsidRDefault="00FC48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3AD2A3FB" w14:textId="77777777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tcMar>
              <w:left w:w="108" w:type="dxa"/>
            </w:tcMar>
          </w:tcPr>
          <w:p w14:paraId="3DE99AC4" w14:textId="4D197947" w:rsidR="00F62B10" w:rsidRDefault="00F62B10">
            <w:pPr>
              <w:jc w:val="both"/>
              <w:rPr>
                <w:sz w:val="22"/>
                <w:szCs w:val="22"/>
              </w:rPr>
            </w:pPr>
          </w:p>
        </w:tc>
      </w:tr>
    </w:tbl>
    <w:p w14:paraId="3120BFD9" w14:textId="77777777" w:rsidR="00F62B10" w:rsidRDefault="00F62B10">
      <w:pPr>
        <w:jc w:val="both"/>
      </w:pPr>
      <w:bookmarkStart w:id="5" w:name="_Toc443562558"/>
      <w:bookmarkEnd w:id="5"/>
    </w:p>
    <w:p w14:paraId="506CC651" w14:textId="77777777" w:rsidR="00F62B10" w:rsidRDefault="00F62B10">
      <w:pPr>
        <w:ind w:left="720"/>
        <w:jc w:val="both"/>
        <w:rPr>
          <w:szCs w:val="22"/>
        </w:rPr>
      </w:pPr>
    </w:p>
    <w:p w14:paraId="7800ED23" w14:textId="77777777" w:rsidR="00F62B10" w:rsidRDefault="008451DA">
      <w:pPr>
        <w:spacing w:after="120"/>
        <w:jc w:val="both"/>
        <w:rPr>
          <w:szCs w:val="22"/>
        </w:rPr>
        <w:sectPr w:rsidR="00F62B10">
          <w:headerReference w:type="default" r:id="rId13"/>
          <w:footerReference w:type="default" r:id="rId14"/>
          <w:pgSz w:w="16838" w:h="11906" w:orient="landscape"/>
          <w:pgMar w:top="1134" w:right="1245" w:bottom="1134" w:left="851" w:header="425" w:footer="403" w:gutter="0"/>
          <w:cols w:space="720"/>
          <w:formProt w:val="0"/>
          <w:docGrid w:linePitch="326" w:charSpace="-6145"/>
        </w:sectPr>
      </w:pPr>
      <w:bookmarkStart w:id="8" w:name="_Toc432587436"/>
      <w:bookmarkStart w:id="9" w:name="_Toc432587443"/>
      <w:bookmarkEnd w:id="8"/>
      <w:bookmarkEnd w:id="9"/>
      <w:r>
        <w:rPr>
          <w:szCs w:val="22"/>
        </w:rPr>
        <w:t xml:space="preserve"> </w:t>
      </w:r>
    </w:p>
    <w:p w14:paraId="56963E24" w14:textId="77777777" w:rsidR="00F62B10" w:rsidRDefault="008451DA">
      <w:pPr>
        <w:spacing w:after="120"/>
        <w:jc w:val="both"/>
        <w:rPr>
          <w:b/>
        </w:rPr>
      </w:pPr>
      <w:r>
        <w:rPr>
          <w:b/>
        </w:rPr>
        <w:lastRenderedPageBreak/>
        <w:t>DIMENSIONAMENTO DELLA SOLUZIONE</w:t>
      </w:r>
    </w:p>
    <w:p w14:paraId="5CDAD09B" w14:textId="77777777" w:rsidR="00F62B10" w:rsidRDefault="008451DA">
      <w:pPr>
        <w:spacing w:after="120"/>
        <w:jc w:val="both"/>
        <w:rPr>
          <w:szCs w:val="22"/>
        </w:rPr>
      </w:pPr>
      <w:r>
        <w:rPr>
          <w:szCs w:val="22"/>
        </w:rPr>
        <w:t>Per consentire al fornitore una stima dei costi e dei tempi si riportano di seguito alcuni dati di dimensionamento:</w:t>
      </w:r>
    </w:p>
    <w:tbl>
      <w:tblPr>
        <w:tblW w:w="7588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4819"/>
        <w:gridCol w:w="1986"/>
      </w:tblGrid>
      <w:tr w:rsidR="00F62B10" w14:paraId="190CDD1F" w14:textId="77777777">
        <w:trPr>
          <w:trHeight w:val="1178"/>
          <w:tblHeader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5181A8DE" w14:textId="77777777" w:rsidR="00F62B10" w:rsidRDefault="008451DA">
            <w:pPr>
              <w:spacing w:before="144" w:after="1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ID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76382F53" w14:textId="77777777" w:rsidR="00F62B10" w:rsidRDefault="008451DA">
            <w:pPr>
              <w:spacing w:before="144" w:after="1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647C8BD2" w14:textId="77777777" w:rsidR="00F62B10" w:rsidRDefault="008451DA">
            <w:pPr>
              <w:spacing w:before="144" w:after="144"/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Q.tà</w:t>
            </w:r>
            <w:proofErr w:type="gramEnd"/>
          </w:p>
        </w:tc>
      </w:tr>
      <w:tr w:rsidR="00F62B10" w14:paraId="2D15ECAE" w14:textId="77777777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8B9BF8" w14:textId="77777777" w:rsidR="00F62B10" w:rsidRDefault="008451DA">
            <w:pPr>
              <w:spacing w:before="144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EB4B4B" w14:textId="38A99546" w:rsidR="00F62B10" w:rsidRDefault="008451DA">
            <w:pPr>
              <w:spacing w:before="60" w:after="60"/>
              <w:jc w:val="both"/>
            </w:pPr>
            <w:r>
              <w:t xml:space="preserve">Numero di </w:t>
            </w:r>
            <w:r w:rsidR="006E5046">
              <w:t>posti operatore</w:t>
            </w:r>
            <w:r w:rsidR="00682A01">
              <w:t xml:space="preserve"> normo vedenti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0B439B0" w14:textId="303F4405" w:rsidR="00F62B10" w:rsidRDefault="00893E62">
            <w:pPr>
              <w:spacing w:before="144" w:after="144"/>
              <w:ind w:left="7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82A01" w14:paraId="75476148" w14:textId="77777777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F96D8E" w14:textId="0BE48E17" w:rsidR="00682A01" w:rsidRDefault="00D646D0">
            <w:pPr>
              <w:spacing w:before="144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ECC835" w14:textId="68A463D1" w:rsidR="00682A01" w:rsidRDefault="00D646D0">
            <w:pPr>
              <w:spacing w:before="60" w:after="60"/>
              <w:jc w:val="both"/>
            </w:pPr>
            <w:r>
              <w:t xml:space="preserve">Numero di posti operatore </w:t>
            </w:r>
            <w:proofErr w:type="spellStart"/>
            <w:proofErr w:type="gramStart"/>
            <w:r>
              <w:t>ipo</w:t>
            </w:r>
            <w:proofErr w:type="spellEnd"/>
            <w:r>
              <w:t>-vedenti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FC9A18B" w14:textId="560245DE" w:rsidR="00682A01" w:rsidRDefault="00893E62">
            <w:pPr>
              <w:spacing w:before="144" w:after="144"/>
              <w:ind w:left="7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82A01" w14:paraId="3FB7A128" w14:textId="77777777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D8EBDAE" w14:textId="5A2BC306" w:rsidR="00682A01" w:rsidRDefault="00D646D0">
            <w:pPr>
              <w:spacing w:before="144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0F8FD5" w14:textId="6FAAF0CB" w:rsidR="00682A01" w:rsidRDefault="00D646D0">
            <w:pPr>
              <w:spacing w:before="60" w:after="60"/>
              <w:jc w:val="both"/>
            </w:pPr>
            <w:r>
              <w:t>Numero di posti operatore non-vedenti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80DAD20" w14:textId="7ADEF24C" w:rsidR="00682A01" w:rsidRDefault="00893E62">
            <w:pPr>
              <w:spacing w:before="144" w:after="144"/>
              <w:ind w:left="7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14:paraId="464ED0AF" w14:textId="77777777" w:rsidR="00F62B10" w:rsidRDefault="00F62B10">
      <w:pPr>
        <w:spacing w:after="120"/>
        <w:jc w:val="both"/>
        <w:rPr>
          <w:szCs w:val="22"/>
        </w:rPr>
      </w:pPr>
    </w:p>
    <w:p w14:paraId="58D6E813" w14:textId="77777777" w:rsidR="00F62B10" w:rsidRDefault="008451DA">
      <w:pPr>
        <w:spacing w:after="120"/>
        <w:jc w:val="both"/>
        <w:rPr>
          <w:b/>
        </w:rPr>
      </w:pPr>
      <w:r>
        <w:rPr>
          <w:b/>
        </w:rPr>
        <w:t xml:space="preserve">COSTI E TEMPI INDICATIVI DELLA MESSA A DISPOSIZIONE DELLA SOLUZIONE </w:t>
      </w:r>
    </w:p>
    <w:p w14:paraId="47920A7A" w14:textId="56B1765C" w:rsidR="00F62B10" w:rsidRDefault="008451DA">
      <w:pPr>
        <w:spacing w:after="120"/>
        <w:jc w:val="both"/>
      </w:pPr>
      <w:r>
        <w:rPr>
          <w:szCs w:val="22"/>
        </w:rPr>
        <w:t>Si richiede di compilare l</w:t>
      </w:r>
      <w:r w:rsidR="00BC39F6">
        <w:rPr>
          <w:szCs w:val="22"/>
        </w:rPr>
        <w:t>a</w:t>
      </w:r>
      <w:r>
        <w:rPr>
          <w:szCs w:val="22"/>
        </w:rPr>
        <w:t xml:space="preserve"> tabell</w:t>
      </w:r>
      <w:r w:rsidR="00BC39F6">
        <w:rPr>
          <w:szCs w:val="22"/>
        </w:rPr>
        <w:t>a</w:t>
      </w:r>
      <w:r>
        <w:rPr>
          <w:szCs w:val="22"/>
        </w:rPr>
        <w:t xml:space="preserve"> </w:t>
      </w:r>
      <w:r w:rsidR="00C53B44">
        <w:rPr>
          <w:szCs w:val="22"/>
        </w:rPr>
        <w:t xml:space="preserve">nella pagina successiva </w:t>
      </w:r>
      <w:r>
        <w:rPr>
          <w:szCs w:val="22"/>
        </w:rPr>
        <w:t>relativ</w:t>
      </w:r>
      <w:r w:rsidR="00BC39F6">
        <w:rPr>
          <w:szCs w:val="22"/>
        </w:rPr>
        <w:t>a</w:t>
      </w:r>
      <w:r>
        <w:rPr>
          <w:szCs w:val="22"/>
        </w:rPr>
        <w:t xml:space="preserve"> a costi e tempi per la messa a disposizione e per la gestione della soluzione desiderata. Si ricorda che si tratta di</w:t>
      </w:r>
      <w:r>
        <w:t xml:space="preserve"> stime di massima, non impegnative (non costituiscono offerta), ma utili a definire la base d'asta e il capitolato per una eventuale gara finalizzata all’acquisizione della soluzione dal mercato. </w:t>
      </w:r>
    </w:p>
    <w:p w14:paraId="48A8C189" w14:textId="77777777" w:rsidR="00F62B10" w:rsidRDefault="008451DA">
      <w:pPr>
        <w:spacing w:after="120"/>
        <w:jc w:val="both"/>
        <w:rPr>
          <w:szCs w:val="22"/>
        </w:rPr>
      </w:pPr>
      <w:r>
        <w:rPr>
          <w:szCs w:val="22"/>
        </w:rPr>
        <w:t xml:space="preserve">In particolare, le stime riguardano: </w:t>
      </w:r>
    </w:p>
    <w:p w14:paraId="0D158F19" w14:textId="28D6C152" w:rsidR="00F62B10" w:rsidRPr="00621B5F" w:rsidRDefault="006F4593">
      <w:pPr>
        <w:numPr>
          <w:ilvl w:val="0"/>
          <w:numId w:val="2"/>
        </w:numPr>
        <w:spacing w:after="120"/>
        <w:jc w:val="both"/>
        <w:rPr>
          <w:szCs w:val="22"/>
        </w:rPr>
      </w:pPr>
      <w:r w:rsidRPr="00621B5F">
        <w:rPr>
          <w:szCs w:val="22"/>
        </w:rPr>
        <w:t>Licenze software che rispondano a</w:t>
      </w:r>
      <w:r w:rsidR="008451DA" w:rsidRPr="00621B5F">
        <w:rPr>
          <w:szCs w:val="22"/>
        </w:rPr>
        <w:t>i requisiti funzionali e non funzionali;</w:t>
      </w:r>
    </w:p>
    <w:p w14:paraId="0F1F5BE5" w14:textId="51E886E2" w:rsidR="00F62B10" w:rsidRPr="00621B5F" w:rsidRDefault="0018279E">
      <w:pPr>
        <w:numPr>
          <w:ilvl w:val="0"/>
          <w:numId w:val="2"/>
        </w:numPr>
        <w:spacing w:after="120"/>
        <w:jc w:val="both"/>
        <w:rPr>
          <w:szCs w:val="22"/>
        </w:rPr>
      </w:pPr>
      <w:r w:rsidRPr="00621B5F">
        <w:rPr>
          <w:szCs w:val="22"/>
        </w:rPr>
        <w:t>L</w:t>
      </w:r>
      <w:r w:rsidR="008451DA" w:rsidRPr="00621B5F">
        <w:rPr>
          <w:szCs w:val="22"/>
        </w:rPr>
        <w:t xml:space="preserve">a messa in esercizio della soluzione. </w:t>
      </w:r>
    </w:p>
    <w:p w14:paraId="59619B74" w14:textId="1D4CFC64" w:rsidR="00D21C78" w:rsidRPr="00621B5F" w:rsidRDefault="00D21C78">
      <w:pPr>
        <w:numPr>
          <w:ilvl w:val="0"/>
          <w:numId w:val="2"/>
        </w:numPr>
        <w:spacing w:after="120"/>
        <w:jc w:val="both"/>
        <w:rPr>
          <w:szCs w:val="22"/>
        </w:rPr>
      </w:pPr>
      <w:r w:rsidRPr="00621B5F">
        <w:rPr>
          <w:szCs w:val="22"/>
        </w:rPr>
        <w:t>La formazione degli utenti e del personale tecnico del CSI Piemonte</w:t>
      </w:r>
    </w:p>
    <w:p w14:paraId="2DE55E1B" w14:textId="7EB88D43" w:rsidR="00BC39F6" w:rsidRPr="00621B5F" w:rsidRDefault="00BC39F6">
      <w:pPr>
        <w:numPr>
          <w:ilvl w:val="0"/>
          <w:numId w:val="2"/>
        </w:numPr>
        <w:spacing w:after="120"/>
        <w:jc w:val="both"/>
        <w:rPr>
          <w:szCs w:val="22"/>
        </w:rPr>
      </w:pPr>
      <w:r w:rsidRPr="00621B5F">
        <w:rPr>
          <w:szCs w:val="22"/>
        </w:rPr>
        <w:t xml:space="preserve">Eventuali componenti hardware correlate all’implementazione della soluzione (sono da escludersi apparati e periferiche tipiche di una postazione di lavoro standard: pc, monitor, tastiera, mouse, telefono, </w:t>
      </w:r>
      <w:proofErr w:type="gramStart"/>
      <w:r w:rsidRPr="00621B5F">
        <w:rPr>
          <w:szCs w:val="22"/>
        </w:rPr>
        <w:t>etc..</w:t>
      </w:r>
      <w:proofErr w:type="gramEnd"/>
      <w:r w:rsidRPr="00621B5F">
        <w:rPr>
          <w:szCs w:val="22"/>
        </w:rPr>
        <w:t>)</w:t>
      </w:r>
    </w:p>
    <w:p w14:paraId="091033F6" w14:textId="4DA61824" w:rsidR="00BC39F6" w:rsidRDefault="00BC39F6" w:rsidP="00BC39F6">
      <w:pPr>
        <w:spacing w:after="120"/>
        <w:jc w:val="both"/>
        <w:rPr>
          <w:szCs w:val="22"/>
          <w:highlight w:val="yellow"/>
        </w:rPr>
      </w:pPr>
    </w:p>
    <w:p w14:paraId="33F4075C" w14:textId="56822B60" w:rsidR="002E268C" w:rsidRDefault="008451DA">
      <w:pPr>
        <w:spacing w:after="120"/>
        <w:jc w:val="both"/>
      </w:pPr>
      <w:r>
        <w:t>I valori economici stimati verranno considerati oneri fiscali esclusi.</w:t>
      </w:r>
    </w:p>
    <w:p w14:paraId="5AC6F8A3" w14:textId="1E3D5B3C" w:rsidR="00BC39F6" w:rsidRDefault="00BC39F6">
      <w:pPr>
        <w:spacing w:after="120"/>
        <w:jc w:val="both"/>
      </w:pPr>
    </w:p>
    <w:p w14:paraId="32E1D45B" w14:textId="1C9C6C72" w:rsidR="00BC39F6" w:rsidRDefault="00BC39F6">
      <w:pPr>
        <w:spacing w:after="120"/>
        <w:jc w:val="both"/>
      </w:pPr>
    </w:p>
    <w:p w14:paraId="37F90C89" w14:textId="6862A34E" w:rsidR="00BC39F6" w:rsidRDefault="00BC39F6">
      <w:pPr>
        <w:spacing w:after="120"/>
        <w:jc w:val="both"/>
      </w:pPr>
    </w:p>
    <w:p w14:paraId="2B1FE8BD" w14:textId="023068BD" w:rsidR="00BC39F6" w:rsidRDefault="00BC39F6">
      <w:pPr>
        <w:spacing w:after="120"/>
        <w:jc w:val="both"/>
      </w:pPr>
    </w:p>
    <w:p w14:paraId="162ED87B" w14:textId="1E33948B" w:rsidR="00BC39F6" w:rsidRDefault="00BC39F6">
      <w:pPr>
        <w:spacing w:after="120"/>
        <w:jc w:val="both"/>
      </w:pPr>
    </w:p>
    <w:p w14:paraId="3BD66945" w14:textId="2B914E90" w:rsidR="00BC39F6" w:rsidRDefault="00BC39F6">
      <w:pPr>
        <w:spacing w:after="120"/>
        <w:jc w:val="both"/>
      </w:pPr>
    </w:p>
    <w:p w14:paraId="007FC3A2" w14:textId="4080BEBF" w:rsidR="00BC39F6" w:rsidRDefault="00BC39F6">
      <w:pPr>
        <w:spacing w:after="120"/>
        <w:jc w:val="both"/>
      </w:pPr>
    </w:p>
    <w:p w14:paraId="26227543" w14:textId="12F96269" w:rsidR="00BC39F6" w:rsidRDefault="00BC39F6">
      <w:pPr>
        <w:spacing w:after="120"/>
        <w:jc w:val="both"/>
      </w:pPr>
    </w:p>
    <w:p w14:paraId="04410C2C" w14:textId="4E7CA609" w:rsidR="00BC39F6" w:rsidRDefault="00BC39F6">
      <w:pPr>
        <w:spacing w:after="120"/>
        <w:jc w:val="both"/>
      </w:pPr>
    </w:p>
    <w:p w14:paraId="1EFA8E00" w14:textId="0D264A9A" w:rsidR="00BC39F6" w:rsidRDefault="00BC39F6">
      <w:pPr>
        <w:spacing w:after="120"/>
        <w:jc w:val="both"/>
      </w:pPr>
    </w:p>
    <w:p w14:paraId="3970F849" w14:textId="77777777" w:rsidR="001B4B59" w:rsidRDefault="001B4B59">
      <w:pPr>
        <w:spacing w:after="120"/>
        <w:jc w:val="both"/>
        <w:sectPr w:rsidR="001B4B59">
          <w:headerReference w:type="default" r:id="rId15"/>
          <w:footerReference w:type="default" r:id="rId16"/>
          <w:pgSz w:w="11906" w:h="16838"/>
          <w:pgMar w:top="1245" w:right="1134" w:bottom="851" w:left="1134" w:header="425" w:footer="403" w:gutter="0"/>
          <w:cols w:space="720"/>
          <w:formProt w:val="0"/>
          <w:docGrid w:linePitch="326" w:charSpace="-6145"/>
        </w:sectPr>
      </w:pPr>
    </w:p>
    <w:p w14:paraId="0DCCA3E7" w14:textId="54B13790" w:rsidR="00BC39F6" w:rsidRDefault="00BC39F6" w:rsidP="002B46C8">
      <w:pPr>
        <w:spacing w:after="120"/>
        <w:jc w:val="both"/>
      </w:pPr>
    </w:p>
    <w:tbl>
      <w:tblPr>
        <w:tblW w:w="51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5"/>
        <w:gridCol w:w="2268"/>
        <w:gridCol w:w="1983"/>
        <w:gridCol w:w="1986"/>
        <w:gridCol w:w="1704"/>
        <w:gridCol w:w="1553"/>
        <w:gridCol w:w="1844"/>
      </w:tblGrid>
      <w:tr w:rsidR="001B4B59" w:rsidRPr="001B4B59" w14:paraId="525DE4FB" w14:textId="77777777" w:rsidTr="000B043B">
        <w:trPr>
          <w:trHeight w:val="30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000000" w:fill="D9E2F3"/>
            <w:vAlign w:val="center"/>
            <w:hideMark/>
          </w:tcPr>
          <w:p w14:paraId="4D9ADBC8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00"/>
            <w:vAlign w:val="center"/>
            <w:hideMark/>
          </w:tcPr>
          <w:p w14:paraId="48EE6E3C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 xml:space="preserve">Compilare in base alle proprie policy commerciali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E2F3"/>
            <w:vAlign w:val="center"/>
            <w:hideMark/>
          </w:tcPr>
          <w:p w14:paraId="7E07C0D2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E2F3"/>
            <w:vAlign w:val="center"/>
            <w:hideMark/>
          </w:tcPr>
          <w:p w14:paraId="0A7D2E01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00000A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F5A9D9F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B4B59" w:rsidRPr="001B4B59" w14:paraId="7E220FCA" w14:textId="77777777" w:rsidTr="000B043B">
        <w:trPr>
          <w:trHeight w:val="79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000000" w:fill="D9E2F3"/>
            <w:vAlign w:val="center"/>
            <w:hideMark/>
          </w:tcPr>
          <w:p w14:paraId="772653B6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Licenze Software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00"/>
            <w:vAlign w:val="center"/>
            <w:hideMark/>
          </w:tcPr>
          <w:p w14:paraId="146667DA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Stima del costo della Subscription Annuale (</w:t>
            </w:r>
            <w:proofErr w:type="gramStart"/>
            <w:r w:rsidRPr="001B4B59">
              <w:rPr>
                <w:b/>
                <w:bCs/>
                <w:color w:val="000000"/>
                <w:sz w:val="20"/>
              </w:rPr>
              <w:t>Euro</w:t>
            </w:r>
            <w:proofErr w:type="gramEnd"/>
            <w:r w:rsidRPr="001B4B59">
              <w:rPr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00"/>
            <w:vAlign w:val="center"/>
            <w:hideMark/>
          </w:tcPr>
          <w:p w14:paraId="37AADE0D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Stima del costo della Licenza Perpetua (</w:t>
            </w:r>
            <w:proofErr w:type="gramStart"/>
            <w:r w:rsidRPr="001B4B59">
              <w:rPr>
                <w:b/>
                <w:bCs/>
                <w:color w:val="000000"/>
                <w:sz w:val="20"/>
              </w:rPr>
              <w:t>Euro</w:t>
            </w:r>
            <w:proofErr w:type="gramEnd"/>
            <w:r w:rsidRPr="001B4B59">
              <w:rPr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00"/>
            <w:vAlign w:val="center"/>
            <w:hideMark/>
          </w:tcPr>
          <w:p w14:paraId="311579FB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Stima del Canone annuale di Manutenzione (</w:t>
            </w:r>
            <w:proofErr w:type="gramStart"/>
            <w:r w:rsidRPr="001B4B59">
              <w:rPr>
                <w:b/>
                <w:bCs/>
                <w:color w:val="000000"/>
                <w:sz w:val="20"/>
              </w:rPr>
              <w:t>Euro</w:t>
            </w:r>
            <w:proofErr w:type="gramEnd"/>
            <w:r w:rsidRPr="001B4B59">
              <w:rPr>
                <w:b/>
                <w:bCs/>
                <w:color w:val="000000"/>
                <w:sz w:val="20"/>
              </w:rPr>
              <w:t>)*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E2F3"/>
            <w:vAlign w:val="center"/>
            <w:hideMark/>
          </w:tcPr>
          <w:p w14:paraId="1FF5632F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Stima del Costo di installazione e configurazione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E2F3"/>
            <w:vAlign w:val="center"/>
            <w:hideMark/>
          </w:tcPr>
          <w:p w14:paraId="23EAC31D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Stima del Costo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04BFC7E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NOTE</w:t>
            </w:r>
          </w:p>
        </w:tc>
      </w:tr>
      <w:tr w:rsidR="001B4B59" w:rsidRPr="001B4B59" w14:paraId="434DA792" w14:textId="77777777" w:rsidTr="000B043B">
        <w:trPr>
          <w:trHeight w:val="27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  <w:hideMark/>
          </w:tcPr>
          <w:p w14:paraId="7BC4A40E" w14:textId="42D4E230" w:rsidR="001B4B59" w:rsidRPr="001B4B59" w:rsidRDefault="001B4B59" w:rsidP="001B4B59">
            <w:pPr>
              <w:rPr>
                <w:color w:val="000000"/>
                <w:sz w:val="20"/>
              </w:rPr>
            </w:pPr>
            <w:r w:rsidRPr="001B4B59">
              <w:rPr>
                <w:color w:val="000000"/>
                <w:sz w:val="20"/>
              </w:rPr>
              <w:t xml:space="preserve">Licenza </w:t>
            </w:r>
            <w:r w:rsidR="00D21C78">
              <w:rPr>
                <w:color w:val="000000"/>
                <w:sz w:val="20"/>
              </w:rPr>
              <w:t xml:space="preserve">per </w:t>
            </w:r>
            <w:r w:rsidRPr="001B4B59">
              <w:rPr>
                <w:color w:val="000000"/>
                <w:sz w:val="20"/>
              </w:rPr>
              <w:t>n.</w:t>
            </w:r>
            <w:r w:rsidR="00D21C78">
              <w:rPr>
                <w:color w:val="000000"/>
                <w:sz w:val="20"/>
              </w:rPr>
              <w:t xml:space="preserve"> </w:t>
            </w:r>
            <w:r w:rsidRPr="001B4B59">
              <w:rPr>
                <w:color w:val="000000"/>
                <w:sz w:val="20"/>
              </w:rPr>
              <w:t>1 postazione normo vedente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41D69610" w14:textId="3207127B" w:rsidR="001B4B59" w:rsidRPr="001B4B59" w:rsidRDefault="000B043B" w:rsidP="001B4B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6047A9B8" w14:textId="20274DDC" w:rsidR="001B4B59" w:rsidRPr="001B4B59" w:rsidRDefault="000B043B" w:rsidP="001B4B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3846E3BE" w14:textId="7B04E340" w:rsidR="001B4B59" w:rsidRPr="001B4B59" w:rsidRDefault="000B043B" w:rsidP="001B4B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129BB915" w14:textId="7B5E240F" w:rsidR="001B4B59" w:rsidRPr="001B4B59" w:rsidRDefault="000B043B" w:rsidP="001B4B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E2F3"/>
            <w:vAlign w:val="center"/>
            <w:hideMark/>
          </w:tcPr>
          <w:p w14:paraId="7B1811EC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748CE2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B4B59" w:rsidRPr="001B4B59" w14:paraId="438735E5" w14:textId="77777777" w:rsidTr="000B043B">
        <w:trPr>
          <w:trHeight w:val="27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  <w:hideMark/>
          </w:tcPr>
          <w:p w14:paraId="15227458" w14:textId="4DB16CB5" w:rsidR="001B4B59" w:rsidRPr="001B4B59" w:rsidRDefault="001B4B59" w:rsidP="001B4B59">
            <w:pPr>
              <w:rPr>
                <w:color w:val="000000"/>
                <w:sz w:val="20"/>
              </w:rPr>
            </w:pPr>
            <w:r w:rsidRPr="001B4B59">
              <w:rPr>
                <w:color w:val="000000"/>
                <w:sz w:val="20"/>
              </w:rPr>
              <w:t>Licenza per n. 2 postazioni “</w:t>
            </w:r>
            <w:proofErr w:type="spellStart"/>
            <w:r w:rsidRPr="001B4B59">
              <w:rPr>
                <w:color w:val="000000"/>
                <w:sz w:val="20"/>
              </w:rPr>
              <w:t>ipo</w:t>
            </w:r>
            <w:proofErr w:type="spellEnd"/>
            <w:r w:rsidRPr="001B4B59">
              <w:rPr>
                <w:color w:val="000000"/>
                <w:sz w:val="20"/>
              </w:rPr>
              <w:t>-vedenti”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65D60173" w14:textId="068F812B" w:rsidR="001B4B59" w:rsidRPr="001B4B59" w:rsidRDefault="000B043B" w:rsidP="001B4B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5E027C6E" w14:textId="1EE2BA21" w:rsidR="001B4B59" w:rsidRPr="001B4B59" w:rsidRDefault="000B043B" w:rsidP="001B4B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206C7821" w14:textId="058EFC79" w:rsidR="001B4B59" w:rsidRPr="001B4B59" w:rsidRDefault="000B043B" w:rsidP="001B4B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7C49609A" w14:textId="659A5D17" w:rsidR="001B4B59" w:rsidRPr="001B4B59" w:rsidRDefault="000B043B" w:rsidP="001B4B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</w:t>
            </w:r>
          </w:p>
        </w:tc>
        <w:tc>
          <w:tcPr>
            <w:tcW w:w="512" w:type="pct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60BF340" w14:textId="77777777" w:rsidR="001B4B59" w:rsidRPr="001B4B59" w:rsidRDefault="001B4B59" w:rsidP="001B4B5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37FA91B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B4B59" w:rsidRPr="001B4B59" w14:paraId="3E4E20D3" w14:textId="77777777" w:rsidTr="000B043B">
        <w:trPr>
          <w:trHeight w:val="27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  <w:hideMark/>
          </w:tcPr>
          <w:p w14:paraId="352B57CD" w14:textId="69506EA4" w:rsidR="001B4B59" w:rsidRPr="001B4B59" w:rsidRDefault="001B4B59" w:rsidP="001B4B59">
            <w:pPr>
              <w:rPr>
                <w:color w:val="000000"/>
                <w:sz w:val="20"/>
              </w:rPr>
            </w:pPr>
            <w:r w:rsidRPr="001B4B59">
              <w:rPr>
                <w:color w:val="000000"/>
                <w:sz w:val="20"/>
              </w:rPr>
              <w:t>Licenza per n. 3 postazioni “non-vedenti”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5AD4237F" w14:textId="4A5B004C" w:rsidR="001B4B59" w:rsidRPr="001B4B59" w:rsidRDefault="000B043B" w:rsidP="001B4B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176298AE" w14:textId="7B0B4938" w:rsidR="001B4B59" w:rsidRPr="001B4B59" w:rsidRDefault="000B043B" w:rsidP="001B4B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3C880103" w14:textId="597868ED" w:rsidR="001B4B59" w:rsidRPr="001B4B59" w:rsidRDefault="000B043B" w:rsidP="001B4B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489B939A" w14:textId="6DF22F1E" w:rsidR="001B4B59" w:rsidRPr="001B4B59" w:rsidRDefault="000B043B" w:rsidP="001B4B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</w:t>
            </w:r>
          </w:p>
        </w:tc>
        <w:tc>
          <w:tcPr>
            <w:tcW w:w="512" w:type="pct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137A47AD" w14:textId="77777777" w:rsidR="001B4B59" w:rsidRPr="001B4B59" w:rsidRDefault="001B4B59" w:rsidP="001B4B5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51C6B53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B4B59" w:rsidRPr="001B4B59" w14:paraId="78EBF359" w14:textId="77777777" w:rsidTr="000B043B">
        <w:trPr>
          <w:trHeight w:val="53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000000" w:fill="D9E2F3"/>
            <w:vAlign w:val="center"/>
            <w:hideMark/>
          </w:tcPr>
          <w:p w14:paraId="564E180A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 xml:space="preserve">Componenti Hardware                                              </w:t>
            </w:r>
            <w:proofErr w:type="gramStart"/>
            <w:r w:rsidRPr="001B4B59">
              <w:rPr>
                <w:b/>
                <w:bCs/>
                <w:color w:val="000000"/>
                <w:sz w:val="20"/>
              </w:rPr>
              <w:t xml:space="preserve">   (</w:t>
            </w:r>
            <w:proofErr w:type="gramEnd"/>
            <w:r w:rsidRPr="001B4B59">
              <w:rPr>
                <w:b/>
                <w:bCs/>
                <w:color w:val="000000"/>
                <w:sz w:val="20"/>
              </w:rPr>
              <w:t>indicare  le singole voci e la relativa quantità)</w:t>
            </w:r>
          </w:p>
        </w:tc>
        <w:tc>
          <w:tcPr>
            <w:tcW w:w="2619" w:type="pct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E2F3"/>
            <w:vAlign w:val="center"/>
            <w:hideMark/>
          </w:tcPr>
          <w:p w14:paraId="0CFD2C3A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E2F3"/>
            <w:vAlign w:val="center"/>
            <w:hideMark/>
          </w:tcPr>
          <w:p w14:paraId="67965275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CE644D9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B4B59" w:rsidRPr="001B4B59" w14:paraId="538E4F59" w14:textId="77777777" w:rsidTr="000B043B">
        <w:trPr>
          <w:trHeight w:val="27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  <w:hideMark/>
          </w:tcPr>
          <w:p w14:paraId="0EE39838" w14:textId="77777777" w:rsidR="001B4B59" w:rsidRPr="001B4B59" w:rsidRDefault="001B4B59" w:rsidP="001B4B59">
            <w:pPr>
              <w:rPr>
                <w:color w:val="000000"/>
                <w:sz w:val="20"/>
              </w:rPr>
            </w:pPr>
            <w:r w:rsidRPr="001B4B59">
              <w:rPr>
                <w:color w:val="000000"/>
                <w:sz w:val="20"/>
              </w:rPr>
              <w:t> </w:t>
            </w:r>
          </w:p>
        </w:tc>
        <w:tc>
          <w:tcPr>
            <w:tcW w:w="2619" w:type="pct"/>
            <w:gridSpan w:val="4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C534BA0" w14:textId="77777777" w:rsidR="001B4B59" w:rsidRPr="001B4B59" w:rsidRDefault="001B4B59" w:rsidP="001B4B5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32890434" w14:textId="7F068416" w:rsidR="001B4B59" w:rsidRPr="001B4B59" w:rsidRDefault="000B043B" w:rsidP="001B4B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D7318E1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 xml:space="preserve"> tempi di consegna: </w:t>
            </w:r>
          </w:p>
        </w:tc>
      </w:tr>
      <w:tr w:rsidR="001B4B59" w:rsidRPr="001B4B59" w14:paraId="137BC2B1" w14:textId="77777777" w:rsidTr="000B043B">
        <w:trPr>
          <w:trHeight w:val="27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  <w:hideMark/>
          </w:tcPr>
          <w:p w14:paraId="1586DA7B" w14:textId="77777777" w:rsidR="001B4B59" w:rsidRPr="001B4B59" w:rsidRDefault="001B4B59" w:rsidP="001B4B59">
            <w:pPr>
              <w:rPr>
                <w:color w:val="000000"/>
                <w:sz w:val="20"/>
              </w:rPr>
            </w:pPr>
            <w:r w:rsidRPr="001B4B59">
              <w:rPr>
                <w:color w:val="000000"/>
                <w:sz w:val="20"/>
              </w:rPr>
              <w:t> </w:t>
            </w:r>
          </w:p>
        </w:tc>
        <w:tc>
          <w:tcPr>
            <w:tcW w:w="2619" w:type="pct"/>
            <w:gridSpan w:val="4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1786FA8" w14:textId="77777777" w:rsidR="001B4B59" w:rsidRPr="001B4B59" w:rsidRDefault="001B4B59" w:rsidP="001B4B5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34606B1B" w14:textId="3806394D" w:rsidR="001B4B59" w:rsidRPr="001B4B59" w:rsidRDefault="000B043B" w:rsidP="001B4B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1F9B403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 xml:space="preserve">tempi di consegna: </w:t>
            </w:r>
          </w:p>
        </w:tc>
      </w:tr>
      <w:tr w:rsidR="001B4B59" w:rsidRPr="001B4B59" w14:paraId="733D7A2A" w14:textId="77777777" w:rsidTr="000B043B">
        <w:trPr>
          <w:trHeight w:val="27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  <w:hideMark/>
          </w:tcPr>
          <w:p w14:paraId="0DE8AD7C" w14:textId="77777777" w:rsidR="001B4B59" w:rsidRPr="001B4B59" w:rsidRDefault="001B4B59" w:rsidP="001B4B59">
            <w:pPr>
              <w:rPr>
                <w:color w:val="000000"/>
                <w:sz w:val="20"/>
              </w:rPr>
            </w:pPr>
            <w:r w:rsidRPr="001B4B59">
              <w:rPr>
                <w:color w:val="000000"/>
                <w:sz w:val="20"/>
              </w:rPr>
              <w:t> </w:t>
            </w:r>
          </w:p>
        </w:tc>
        <w:tc>
          <w:tcPr>
            <w:tcW w:w="2619" w:type="pct"/>
            <w:gridSpan w:val="4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25435D4" w14:textId="77777777" w:rsidR="001B4B59" w:rsidRPr="001B4B59" w:rsidRDefault="001B4B59" w:rsidP="001B4B5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63A1E04D" w14:textId="61D11BCF" w:rsidR="001B4B59" w:rsidRPr="001B4B59" w:rsidRDefault="000B043B" w:rsidP="001B4B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26E574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 xml:space="preserve"> tempi di consegna: </w:t>
            </w:r>
          </w:p>
        </w:tc>
      </w:tr>
      <w:tr w:rsidR="001B4B59" w:rsidRPr="001B4B59" w14:paraId="43C2CD64" w14:textId="77777777" w:rsidTr="000B043B">
        <w:trPr>
          <w:trHeight w:val="27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  <w:hideMark/>
          </w:tcPr>
          <w:p w14:paraId="18849419" w14:textId="77777777" w:rsidR="001B4B59" w:rsidRPr="001B4B59" w:rsidRDefault="001B4B59" w:rsidP="001B4B59">
            <w:pPr>
              <w:rPr>
                <w:color w:val="000000"/>
                <w:sz w:val="20"/>
              </w:rPr>
            </w:pPr>
            <w:r w:rsidRPr="001B4B59">
              <w:rPr>
                <w:color w:val="000000"/>
                <w:sz w:val="20"/>
              </w:rPr>
              <w:t> </w:t>
            </w:r>
          </w:p>
        </w:tc>
        <w:tc>
          <w:tcPr>
            <w:tcW w:w="2619" w:type="pct"/>
            <w:gridSpan w:val="4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13239DB" w14:textId="77777777" w:rsidR="001B4B59" w:rsidRPr="001B4B59" w:rsidRDefault="001B4B59" w:rsidP="001B4B5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6EE257EE" w14:textId="2E24B010" w:rsidR="001B4B59" w:rsidRPr="001B4B59" w:rsidRDefault="000B043B" w:rsidP="001B4B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542956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 xml:space="preserve"> tempi di consegna: </w:t>
            </w:r>
          </w:p>
        </w:tc>
      </w:tr>
      <w:tr w:rsidR="001B4B59" w:rsidRPr="001B4B59" w14:paraId="045D55BE" w14:textId="77777777" w:rsidTr="000B043B">
        <w:trPr>
          <w:trHeight w:val="27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000000" w:fill="D9E2F3"/>
            <w:vAlign w:val="center"/>
            <w:hideMark/>
          </w:tcPr>
          <w:p w14:paraId="234E46A1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Formazione</w:t>
            </w:r>
          </w:p>
        </w:tc>
        <w:tc>
          <w:tcPr>
            <w:tcW w:w="2619" w:type="pct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E2F3"/>
            <w:vAlign w:val="center"/>
            <w:hideMark/>
          </w:tcPr>
          <w:p w14:paraId="0CF8450A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E2F3"/>
            <w:vAlign w:val="center"/>
            <w:hideMark/>
          </w:tcPr>
          <w:p w14:paraId="2B7D4D1A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103A854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B5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1B4B59" w:rsidRPr="001B4B59" w14:paraId="2586E72D" w14:textId="77777777" w:rsidTr="000B043B">
        <w:trPr>
          <w:trHeight w:val="71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  <w:hideMark/>
          </w:tcPr>
          <w:p w14:paraId="0BAF087C" w14:textId="77777777" w:rsidR="001B4B59" w:rsidRPr="001B4B59" w:rsidRDefault="001B4B59" w:rsidP="001B4B59">
            <w:pPr>
              <w:rPr>
                <w:color w:val="000000"/>
                <w:sz w:val="20"/>
              </w:rPr>
            </w:pPr>
            <w:r w:rsidRPr="001B4B59">
              <w:rPr>
                <w:color w:val="000000"/>
                <w:sz w:val="20"/>
              </w:rPr>
              <w:t xml:space="preserve">Formazione on-site ai centralinisti (normo-vedenti, </w:t>
            </w:r>
            <w:proofErr w:type="spellStart"/>
            <w:proofErr w:type="gramStart"/>
            <w:r w:rsidRPr="001B4B59">
              <w:rPr>
                <w:color w:val="000000"/>
                <w:sz w:val="20"/>
              </w:rPr>
              <w:t>ipo</w:t>
            </w:r>
            <w:proofErr w:type="spellEnd"/>
            <w:r w:rsidRPr="001B4B59">
              <w:rPr>
                <w:color w:val="000000"/>
                <w:sz w:val="20"/>
              </w:rPr>
              <w:t>-vedenti</w:t>
            </w:r>
            <w:proofErr w:type="gramEnd"/>
            <w:r w:rsidRPr="001B4B59">
              <w:rPr>
                <w:color w:val="000000"/>
                <w:sz w:val="20"/>
              </w:rPr>
              <w:t xml:space="preserve"> e non vedenti) sull’uso dell’applicazione.</w:t>
            </w:r>
          </w:p>
        </w:tc>
        <w:tc>
          <w:tcPr>
            <w:tcW w:w="2619" w:type="pct"/>
            <w:gridSpan w:val="4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4E52D55" w14:textId="77777777" w:rsidR="001B4B59" w:rsidRPr="001B4B59" w:rsidRDefault="001B4B59" w:rsidP="001B4B5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7708FDDC" w14:textId="15AE2DBE" w:rsidR="001B4B59" w:rsidRPr="001B4B59" w:rsidRDefault="001B4B59" w:rsidP="001B4B59">
            <w:pPr>
              <w:rPr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FFC720" w14:textId="0DBCD48B" w:rsidR="001B4B59" w:rsidRPr="001B4B59" w:rsidRDefault="000B043B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giornate</w:t>
            </w:r>
            <w:r w:rsidR="001B4B59" w:rsidRPr="001B4B59">
              <w:rPr>
                <w:b/>
                <w:bCs/>
                <w:color w:val="000000"/>
                <w:sz w:val="20"/>
              </w:rPr>
              <w:t xml:space="preserve"> stimat</w:t>
            </w:r>
            <w:r>
              <w:rPr>
                <w:b/>
                <w:bCs/>
                <w:color w:val="000000"/>
                <w:sz w:val="20"/>
              </w:rPr>
              <w:t>e</w:t>
            </w:r>
            <w:r w:rsidR="001B4B59" w:rsidRPr="001B4B59">
              <w:rPr>
                <w:b/>
                <w:bCs/>
                <w:color w:val="000000"/>
                <w:sz w:val="20"/>
              </w:rPr>
              <w:t xml:space="preserve">: </w:t>
            </w:r>
          </w:p>
        </w:tc>
      </w:tr>
      <w:tr w:rsidR="001B4B59" w:rsidRPr="001B4B59" w14:paraId="4A398EC6" w14:textId="77777777" w:rsidTr="000B043B">
        <w:trPr>
          <w:trHeight w:val="530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  <w:hideMark/>
          </w:tcPr>
          <w:p w14:paraId="435F66F0" w14:textId="77777777" w:rsidR="001B4B59" w:rsidRPr="001B4B59" w:rsidRDefault="001B4B59" w:rsidP="001B4B59">
            <w:pPr>
              <w:rPr>
                <w:color w:val="000000"/>
                <w:sz w:val="20"/>
              </w:rPr>
            </w:pPr>
            <w:r w:rsidRPr="001B4B59">
              <w:rPr>
                <w:color w:val="000000"/>
                <w:sz w:val="20"/>
              </w:rPr>
              <w:t>Formazione (anche da remoto) ai tecnici CSI sulla gestione della soluzione.</w:t>
            </w:r>
          </w:p>
        </w:tc>
        <w:tc>
          <w:tcPr>
            <w:tcW w:w="2619" w:type="pct"/>
            <w:gridSpan w:val="4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DFCEADE" w14:textId="77777777" w:rsidR="001B4B59" w:rsidRPr="001B4B59" w:rsidRDefault="001B4B59" w:rsidP="001B4B5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uto"/>
            <w:vAlign w:val="center"/>
          </w:tcPr>
          <w:p w14:paraId="2ACB0CC8" w14:textId="561D9C80" w:rsidR="001B4B59" w:rsidRPr="001B4B59" w:rsidRDefault="001B4B59" w:rsidP="001B4B59">
            <w:pPr>
              <w:rPr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AB62F18" w14:textId="6BC10ED1" w:rsidR="001B4B59" w:rsidRPr="001B4B59" w:rsidRDefault="000B043B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giornate</w:t>
            </w:r>
            <w:r w:rsidRPr="001B4B59">
              <w:rPr>
                <w:b/>
                <w:bCs/>
                <w:color w:val="000000"/>
                <w:sz w:val="20"/>
              </w:rPr>
              <w:t xml:space="preserve"> stimat</w:t>
            </w:r>
            <w:r>
              <w:rPr>
                <w:b/>
                <w:bCs/>
                <w:color w:val="000000"/>
                <w:sz w:val="20"/>
              </w:rPr>
              <w:t>e</w:t>
            </w:r>
            <w:r w:rsidRPr="001B4B59">
              <w:rPr>
                <w:b/>
                <w:bCs/>
                <w:color w:val="000000"/>
                <w:sz w:val="20"/>
              </w:rPr>
              <w:t>:</w:t>
            </w:r>
          </w:p>
        </w:tc>
      </w:tr>
      <w:tr w:rsidR="001B4B59" w:rsidRPr="001B4B59" w14:paraId="78ED8A73" w14:textId="77777777" w:rsidTr="000B043B">
        <w:trPr>
          <w:trHeight w:val="210"/>
        </w:trPr>
        <w:tc>
          <w:tcPr>
            <w:tcW w:w="12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2720B7" w14:textId="77777777" w:rsidR="001B4B59" w:rsidRPr="001B4B59" w:rsidRDefault="001B4B59" w:rsidP="001B4B5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1EDDB5" w14:textId="77777777" w:rsidR="001B4B59" w:rsidRPr="001B4B59" w:rsidRDefault="001B4B59" w:rsidP="001B4B59">
            <w:pPr>
              <w:rPr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2C1856" w14:textId="77777777" w:rsidR="001B4B59" w:rsidRPr="001B4B59" w:rsidRDefault="001B4B59" w:rsidP="001B4B59">
            <w:pPr>
              <w:rPr>
                <w:sz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AE5BD4" w14:textId="77777777" w:rsidR="001B4B59" w:rsidRPr="001B4B59" w:rsidRDefault="001B4B59" w:rsidP="001B4B59">
            <w:pPr>
              <w:rPr>
                <w:sz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05CF63" w14:textId="77777777" w:rsidR="001B4B59" w:rsidRPr="001B4B59" w:rsidRDefault="001B4B59" w:rsidP="001B4B59">
            <w:pPr>
              <w:rPr>
                <w:sz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F1D279" w14:textId="77777777" w:rsidR="001B4B59" w:rsidRPr="001B4B59" w:rsidRDefault="001B4B59" w:rsidP="001B4B59">
            <w:pPr>
              <w:rPr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F2426B4" w14:textId="77777777" w:rsidR="001B4B59" w:rsidRPr="001B4B59" w:rsidRDefault="001B4B59" w:rsidP="001B4B59">
            <w:pPr>
              <w:rPr>
                <w:sz w:val="20"/>
              </w:rPr>
            </w:pPr>
          </w:p>
        </w:tc>
      </w:tr>
      <w:tr w:rsidR="001B4B59" w:rsidRPr="001B4B59" w14:paraId="36D7F496" w14:textId="77777777" w:rsidTr="001B4B59">
        <w:trPr>
          <w:trHeight w:val="26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BE54D6C" w14:textId="77777777" w:rsidR="001B4B59" w:rsidRPr="001B4B59" w:rsidRDefault="001B4B59" w:rsidP="001B4B59">
            <w:pPr>
              <w:rPr>
                <w:color w:val="000000"/>
                <w:sz w:val="20"/>
              </w:rPr>
            </w:pPr>
            <w:r w:rsidRPr="001B4B59">
              <w:rPr>
                <w:color w:val="000000"/>
                <w:sz w:val="20"/>
              </w:rPr>
              <w:t>*Previsto in caso di Licenza Perpetua: assistenza da remoto, manutenzione e fornitura upgrade dal secondo anno - considerare uno SLA standard Next Business Day</w:t>
            </w:r>
          </w:p>
        </w:tc>
      </w:tr>
    </w:tbl>
    <w:p w14:paraId="2DAD6961" w14:textId="77777777" w:rsidR="001B4B59" w:rsidRDefault="001B4B59" w:rsidP="002B46C8">
      <w:pPr>
        <w:spacing w:after="120"/>
        <w:jc w:val="both"/>
      </w:pPr>
    </w:p>
    <w:sectPr w:rsidR="001B4B59" w:rsidSect="001B4B59">
      <w:pgSz w:w="16838" w:h="11906" w:orient="landscape"/>
      <w:pgMar w:top="1134" w:right="1247" w:bottom="1134" w:left="851" w:header="425" w:footer="403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8797C" w14:textId="77777777" w:rsidR="00E16121" w:rsidRDefault="00E16121">
      <w:r>
        <w:separator/>
      </w:r>
    </w:p>
  </w:endnote>
  <w:endnote w:type="continuationSeparator" w:id="0">
    <w:p w14:paraId="45901FF6" w14:textId="77777777" w:rsidR="00E16121" w:rsidRDefault="00E1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C3F1" w14:textId="77777777" w:rsidR="00C718E1" w:rsidRDefault="00C718E1">
    <w:pPr>
      <w:pStyle w:val="Intestazione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0E67" w14:textId="77777777" w:rsidR="00C718E1" w:rsidRDefault="00C718E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FF61" w14:textId="77777777" w:rsidR="00C718E1" w:rsidRDefault="00C718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7707E" w14:textId="77777777" w:rsidR="00E16121" w:rsidRDefault="00E16121"/>
  </w:footnote>
  <w:footnote w:type="continuationSeparator" w:id="0">
    <w:p w14:paraId="2E0521D0" w14:textId="77777777" w:rsidR="00E16121" w:rsidRDefault="00E1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C68A" w14:textId="77777777" w:rsidR="00C718E1" w:rsidRDefault="00C718E1"/>
  <w:tbl>
    <w:tblPr>
      <w:tblW w:w="9993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3580"/>
      <w:gridCol w:w="4611"/>
    </w:tblGrid>
    <w:tr w:rsidR="00C718E1" w14:paraId="32E7880C" w14:textId="77777777" w:rsidTr="00A77C4C">
      <w:trPr>
        <w:cantSplit/>
        <w:trHeight w:val="1532"/>
      </w:trPr>
      <w:tc>
        <w:tcPr>
          <w:tcW w:w="1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6D908D46" w14:textId="77777777" w:rsidR="00C718E1" w:rsidRDefault="00C718E1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222CFFBB" wp14:editId="335B5A8A">
                <wp:extent cx="1055370" cy="342900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889AE8" w14:textId="77777777" w:rsidR="00C718E1" w:rsidRDefault="00C718E1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</w:p>
      </w:tc>
      <w:tc>
        <w:tcPr>
          <w:tcW w:w="358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5CABA673" w14:textId="77777777" w:rsidR="00C718E1" w:rsidRDefault="00C718E1">
          <w:pPr>
            <w:tabs>
              <w:tab w:val="left" w:pos="602"/>
            </w:tabs>
            <w:spacing w:line="240" w:lineRule="atLeast"/>
            <w:rPr>
              <w:b/>
              <w:caps/>
              <w:sz w:val="8"/>
              <w:szCs w:val="16"/>
            </w:rPr>
          </w:pPr>
        </w:p>
        <w:p w14:paraId="4281A0A1" w14:textId="348C66A8" w:rsidR="00C718E1" w:rsidRDefault="005E21DC">
          <w:pPr>
            <w:spacing w:before="120" w:after="120"/>
            <w:ind w:left="213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t>soluzione</w:t>
          </w:r>
          <w:r w:rsidR="000A5215">
            <w:rPr>
              <w:b/>
              <w:caps/>
              <w:sz w:val="20"/>
            </w:rPr>
            <w:t xml:space="preserve"> </w:t>
          </w:r>
          <w:r w:rsidR="00DC2FA7">
            <w:rPr>
              <w:b/>
              <w:caps/>
              <w:sz w:val="20"/>
            </w:rPr>
            <w:t>di posto operatore VoIP SIP</w:t>
          </w:r>
        </w:p>
      </w:tc>
      <w:tc>
        <w:tcPr>
          <w:tcW w:w="461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01FC24F9" w14:textId="77777777" w:rsidR="00C718E1" w:rsidRDefault="00C718E1">
          <w:pPr>
            <w:spacing w:before="80"/>
            <w:jc w:val="center"/>
            <w:rPr>
              <w:sz w:val="20"/>
            </w:rPr>
          </w:pPr>
          <w:r>
            <w:rPr>
              <w:sz w:val="20"/>
            </w:rPr>
            <w:t>ALLEGATO 1</w:t>
          </w:r>
        </w:p>
        <w:p w14:paraId="412307D3" w14:textId="2C769CF8" w:rsidR="00C718E1" w:rsidRDefault="00F76109">
          <w:pPr>
            <w:spacing w:before="80"/>
            <w:jc w:val="center"/>
          </w:pPr>
          <w:r>
            <w:rPr>
              <w:rFonts w:ascii="Helvetica" w:hAnsi="Helvetica"/>
              <w:color w:val="000000"/>
              <w:sz w:val="20"/>
              <w:shd w:val="clear" w:color="auto" w:fill="FFFFFF"/>
            </w:rPr>
            <w:t>APIM</w:t>
          </w:r>
          <w:r w:rsidRPr="00F76109">
            <w:rPr>
              <w:rFonts w:ascii="Helvetica" w:hAnsi="Helvetica"/>
              <w:color w:val="000000"/>
              <w:sz w:val="20"/>
              <w:shd w:val="clear" w:color="auto" w:fill="FFFFFF"/>
            </w:rPr>
            <w:t>21_008</w:t>
          </w:r>
          <w:r w:rsidR="00EF0D66" w:rsidRPr="00F76109">
            <w:rPr>
              <w:rFonts w:ascii="Arial" w:hAnsi="Arial" w:cs="Arial"/>
              <w:i/>
              <w:iCs/>
              <w:sz w:val="22"/>
            </w:rPr>
            <w:t>_</w:t>
          </w:r>
          <w:r w:rsidRPr="00F76109">
            <w:rPr>
              <w:rFonts w:ascii="Arial" w:hAnsi="Arial" w:cs="Arial"/>
              <w:sz w:val="22"/>
            </w:rPr>
            <w:t>A01</w:t>
          </w:r>
          <w:r w:rsidR="00EF0D66" w:rsidRPr="00F76109">
            <w:rPr>
              <w:rFonts w:ascii="Arial" w:hAnsi="Arial" w:cs="Arial"/>
              <w:i/>
              <w:iCs/>
              <w:sz w:val="22"/>
            </w:rPr>
            <w:t>_</w:t>
          </w:r>
          <w:r w:rsidR="00C718E1" w:rsidRPr="00F76109">
            <w:rPr>
              <w:sz w:val="20"/>
            </w:rPr>
            <w:fldChar w:fldCharType="begin"/>
          </w:r>
          <w:r w:rsidR="00C718E1" w:rsidRPr="00F76109">
            <w:instrText>FILENAME</w:instrText>
          </w:r>
          <w:r w:rsidR="00C718E1" w:rsidRPr="00F76109">
            <w:fldChar w:fldCharType="separate"/>
          </w:r>
          <w:r w:rsidR="00272570" w:rsidRPr="00F76109">
            <w:rPr>
              <w:noProof/>
            </w:rPr>
            <w:t>Specifiche</w:t>
          </w:r>
          <w:r w:rsidR="00654F3C" w:rsidRPr="00F76109">
            <w:rPr>
              <w:noProof/>
            </w:rPr>
            <w:t xml:space="preserve"> </w:t>
          </w:r>
          <w:r w:rsidR="00272570" w:rsidRPr="00F76109">
            <w:rPr>
              <w:noProof/>
            </w:rPr>
            <w:t>Tecnico-</w:t>
          </w:r>
          <w:r w:rsidR="00EF0D66" w:rsidRPr="00F76109">
            <w:rPr>
              <w:noProof/>
            </w:rPr>
            <w:t>F</w:t>
          </w:r>
          <w:r w:rsidR="00272570" w:rsidRPr="00F76109">
            <w:rPr>
              <w:noProof/>
            </w:rPr>
            <w:t>unzionali</w:t>
          </w:r>
          <w:r w:rsidR="00C718E1" w:rsidRPr="00F76109">
            <w:fldChar w:fldCharType="end"/>
          </w:r>
          <w:r w:rsidR="00654F3C">
            <w:t xml:space="preserve"> e Modalità di Fornitura</w:t>
          </w:r>
        </w:p>
        <w:p w14:paraId="77EFF94D" w14:textId="77777777" w:rsidR="00C718E1" w:rsidRDefault="00C718E1">
          <w:pPr>
            <w:tabs>
              <w:tab w:val="left" w:pos="1134"/>
            </w:tabs>
            <w:spacing w:line="240" w:lineRule="atLeast"/>
            <w:jc w:val="center"/>
            <w:rPr>
              <w:sz w:val="20"/>
              <w:lang w:val="fr-FR"/>
            </w:rPr>
          </w:pPr>
        </w:p>
        <w:p w14:paraId="4C3BF309" w14:textId="77777777" w:rsidR="00C718E1" w:rsidRDefault="00C718E1">
          <w:pPr>
            <w:tabs>
              <w:tab w:val="left" w:pos="1134"/>
            </w:tabs>
            <w:spacing w:after="240" w:line="240" w:lineRule="atLeast"/>
            <w:jc w:val="center"/>
          </w:pPr>
          <w:r>
            <w:rPr>
              <w:sz w:val="20"/>
              <w:lang w:val="fr-FR"/>
            </w:rPr>
            <w:t xml:space="preserve">Pag. </w:t>
          </w:r>
          <w:r>
            <w:rPr>
              <w:sz w:val="20"/>
              <w:lang w:val="fr-FR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sz w:val="20"/>
            </w:rPr>
            <w:t xml:space="preserve"> di </w:t>
          </w:r>
          <w:bookmarkStart w:id="3" w:name="_Toc506367476"/>
          <w:bookmarkStart w:id="4" w:name="_Toc505684071"/>
          <w:bookmarkEnd w:id="3"/>
          <w:bookmarkEnd w:id="4"/>
          <w:r>
            <w:rPr>
              <w:rStyle w:val="Numeropagina"/>
              <w:sz w:val="20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t>26</w:t>
          </w:r>
          <w:r>
            <w:fldChar w:fldCharType="end"/>
          </w:r>
        </w:p>
      </w:tc>
    </w:tr>
  </w:tbl>
  <w:p w14:paraId="775AFDC9" w14:textId="77777777" w:rsidR="00C718E1" w:rsidRDefault="00C718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774A" w14:textId="77777777" w:rsidR="00C718E1" w:rsidRDefault="00C718E1"/>
  <w:tbl>
    <w:tblPr>
      <w:tblW w:w="5000" w:type="pct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4"/>
      <w:gridCol w:w="2781"/>
      <w:gridCol w:w="3793"/>
    </w:tblGrid>
    <w:tr w:rsidR="00C718E1" w:rsidRPr="000D0C44" w14:paraId="361CC80B" w14:textId="77777777" w:rsidTr="00E5622A">
      <w:trPr>
        <w:cantSplit/>
        <w:trHeight w:val="1532"/>
      </w:trPr>
      <w:tc>
        <w:tcPr>
          <w:tcW w:w="1586" w:type="pc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56D70BCD" w14:textId="77777777" w:rsidR="00C718E1" w:rsidRPr="000D0C44" w:rsidRDefault="00C718E1" w:rsidP="00820246">
          <w:pPr>
            <w:tabs>
              <w:tab w:val="left" w:pos="1134"/>
            </w:tabs>
            <w:spacing w:line="240" w:lineRule="atLeast"/>
            <w:jc w:val="center"/>
            <w:rPr>
              <w:sz w:val="18"/>
              <w:szCs w:val="18"/>
            </w:rPr>
          </w:pPr>
          <w:r w:rsidRPr="000D0C44">
            <w:rPr>
              <w:noProof/>
              <w:sz w:val="18"/>
              <w:szCs w:val="18"/>
            </w:rPr>
            <w:drawing>
              <wp:inline distT="0" distB="0" distL="0" distR="0" wp14:anchorId="52AD340D" wp14:editId="69332176">
                <wp:extent cx="1435100" cy="467842"/>
                <wp:effectExtent l="0" t="0" r="0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315" cy="468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ECA0FA" w14:textId="77777777" w:rsidR="00C718E1" w:rsidRPr="000D0C44" w:rsidRDefault="00C718E1" w:rsidP="00820246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444" w:type="pc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1AE840B5" w14:textId="77777777" w:rsidR="00C718E1" w:rsidRPr="000D0C44" w:rsidRDefault="00C718E1">
          <w:pPr>
            <w:tabs>
              <w:tab w:val="left" w:pos="602"/>
            </w:tabs>
            <w:spacing w:line="240" w:lineRule="atLeast"/>
            <w:rPr>
              <w:b/>
              <w:caps/>
              <w:sz w:val="18"/>
              <w:szCs w:val="18"/>
            </w:rPr>
          </w:pPr>
        </w:p>
        <w:p w14:paraId="5B0727D5" w14:textId="77777777" w:rsidR="00C718E1" w:rsidRPr="000D0C44" w:rsidRDefault="00C718E1">
          <w:pPr>
            <w:tabs>
              <w:tab w:val="left" w:pos="602"/>
            </w:tabs>
            <w:spacing w:before="120" w:after="120"/>
            <w:jc w:val="center"/>
            <w:rPr>
              <w:sz w:val="18"/>
              <w:szCs w:val="18"/>
            </w:rPr>
          </w:pPr>
          <w:r w:rsidRPr="000D0C44">
            <w:rPr>
              <w:b/>
              <w:caps/>
              <w:sz w:val="18"/>
              <w:szCs w:val="18"/>
            </w:rPr>
            <w:t>CSI Piemonte</w:t>
          </w:r>
        </w:p>
        <w:p w14:paraId="2B44EB13" w14:textId="77777777" w:rsidR="00DD5194" w:rsidRDefault="00DD5194">
          <w:pPr>
            <w:spacing w:before="120" w:after="120"/>
            <w:ind w:left="213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t>soluzione di posto operatore VoIP SIP</w:t>
          </w:r>
        </w:p>
        <w:p w14:paraId="7D3DF521" w14:textId="414C682A" w:rsidR="00C718E1" w:rsidRPr="000D0C44" w:rsidRDefault="00C718E1">
          <w:pPr>
            <w:spacing w:before="120" w:after="120"/>
            <w:ind w:left="213"/>
            <w:jc w:val="center"/>
            <w:rPr>
              <w:sz w:val="18"/>
              <w:szCs w:val="18"/>
            </w:rPr>
          </w:pPr>
          <w:r w:rsidRPr="000D0C44">
            <w:rPr>
              <w:b/>
              <w:caps/>
              <w:sz w:val="18"/>
              <w:szCs w:val="18"/>
            </w:rPr>
            <w:t>requisiti tecnico-funzionali e modalità DI FORNITURA</w:t>
          </w:r>
        </w:p>
      </w:tc>
      <w:tc>
        <w:tcPr>
          <w:tcW w:w="1971" w:type="pc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4CF1DB83" w14:textId="77777777" w:rsidR="00C718E1" w:rsidRPr="000D0C44" w:rsidRDefault="00C718E1">
          <w:pPr>
            <w:spacing w:before="80"/>
            <w:jc w:val="center"/>
            <w:rPr>
              <w:sz w:val="18"/>
              <w:szCs w:val="18"/>
            </w:rPr>
          </w:pPr>
          <w:r w:rsidRPr="000D0C44">
            <w:rPr>
              <w:sz w:val="18"/>
              <w:szCs w:val="18"/>
            </w:rPr>
            <w:t>ALLEGATO 1</w:t>
          </w:r>
        </w:p>
        <w:p w14:paraId="757F1969" w14:textId="6E6D355C" w:rsidR="00C718E1" w:rsidRPr="000D0C44" w:rsidRDefault="00C718E1">
          <w:pPr>
            <w:spacing w:before="80"/>
            <w:jc w:val="center"/>
            <w:rPr>
              <w:sz w:val="18"/>
              <w:szCs w:val="18"/>
            </w:rPr>
          </w:pPr>
          <w:r w:rsidRPr="000D0C44">
            <w:rPr>
              <w:sz w:val="18"/>
              <w:szCs w:val="18"/>
            </w:rPr>
            <w:fldChar w:fldCharType="begin"/>
          </w:r>
          <w:r w:rsidRPr="000D0C44">
            <w:rPr>
              <w:sz w:val="18"/>
              <w:szCs w:val="18"/>
            </w:rPr>
            <w:instrText>FILENAME</w:instrText>
          </w:r>
          <w:r w:rsidRPr="000D0C44">
            <w:rPr>
              <w:sz w:val="18"/>
              <w:szCs w:val="18"/>
            </w:rPr>
            <w:fldChar w:fldCharType="separate"/>
          </w:r>
          <w:r w:rsidR="00F13198">
            <w:rPr>
              <w:noProof/>
              <w:sz w:val="18"/>
              <w:szCs w:val="18"/>
            </w:rPr>
            <w:t>APIM_Soluzione_PO_SpecificheTecnico-funzionali</w:t>
          </w:r>
          <w:r w:rsidRPr="000D0C44">
            <w:rPr>
              <w:sz w:val="18"/>
              <w:szCs w:val="18"/>
            </w:rPr>
            <w:fldChar w:fldCharType="end"/>
          </w:r>
        </w:p>
        <w:p w14:paraId="27FED5C5" w14:textId="77777777" w:rsidR="00C718E1" w:rsidRPr="000D0C44" w:rsidRDefault="00C718E1">
          <w:pPr>
            <w:tabs>
              <w:tab w:val="left" w:pos="1134"/>
            </w:tabs>
            <w:spacing w:line="240" w:lineRule="atLeast"/>
            <w:jc w:val="center"/>
            <w:rPr>
              <w:sz w:val="18"/>
              <w:szCs w:val="18"/>
              <w:lang w:val="fr-FR"/>
            </w:rPr>
          </w:pPr>
        </w:p>
        <w:p w14:paraId="765BAD85" w14:textId="77777777" w:rsidR="00C718E1" w:rsidRPr="000D0C44" w:rsidRDefault="00C718E1">
          <w:pPr>
            <w:tabs>
              <w:tab w:val="left" w:pos="1134"/>
            </w:tabs>
            <w:spacing w:after="240" w:line="240" w:lineRule="atLeast"/>
            <w:jc w:val="center"/>
            <w:rPr>
              <w:sz w:val="18"/>
              <w:szCs w:val="18"/>
            </w:rPr>
          </w:pPr>
          <w:r w:rsidRPr="000D0C44">
            <w:rPr>
              <w:sz w:val="18"/>
              <w:szCs w:val="18"/>
              <w:lang w:val="fr-FR"/>
            </w:rPr>
            <w:t xml:space="preserve">Pag. </w:t>
          </w:r>
          <w:r w:rsidRPr="000D0C44">
            <w:rPr>
              <w:sz w:val="18"/>
              <w:szCs w:val="18"/>
              <w:lang w:val="fr-FR"/>
            </w:rPr>
            <w:fldChar w:fldCharType="begin"/>
          </w:r>
          <w:r w:rsidRPr="000D0C44">
            <w:rPr>
              <w:sz w:val="18"/>
              <w:szCs w:val="18"/>
            </w:rPr>
            <w:instrText>PAGE</w:instrText>
          </w:r>
          <w:r w:rsidRPr="000D0C44">
            <w:rPr>
              <w:sz w:val="18"/>
              <w:szCs w:val="18"/>
            </w:rPr>
            <w:fldChar w:fldCharType="separate"/>
          </w:r>
          <w:r w:rsidRPr="000D0C44">
            <w:rPr>
              <w:sz w:val="18"/>
              <w:szCs w:val="18"/>
            </w:rPr>
            <w:t>23</w:t>
          </w:r>
          <w:r w:rsidRPr="000D0C44">
            <w:rPr>
              <w:sz w:val="18"/>
              <w:szCs w:val="18"/>
            </w:rPr>
            <w:fldChar w:fldCharType="end"/>
          </w:r>
          <w:r w:rsidRPr="000D0C44">
            <w:rPr>
              <w:sz w:val="18"/>
              <w:szCs w:val="18"/>
            </w:rPr>
            <w:t xml:space="preserve"> di </w:t>
          </w:r>
          <w:bookmarkStart w:id="6" w:name="_Toc5056840711"/>
          <w:bookmarkStart w:id="7" w:name="_Toc5063674761"/>
          <w:bookmarkEnd w:id="6"/>
          <w:bookmarkEnd w:id="7"/>
          <w:r w:rsidRPr="000D0C44">
            <w:rPr>
              <w:rStyle w:val="Numeropagina"/>
            </w:rPr>
            <w:fldChar w:fldCharType="begin"/>
          </w:r>
          <w:r w:rsidRPr="000D0C44">
            <w:rPr>
              <w:sz w:val="18"/>
              <w:szCs w:val="18"/>
            </w:rPr>
            <w:instrText>NUMPAGES</w:instrText>
          </w:r>
          <w:r w:rsidRPr="000D0C44">
            <w:rPr>
              <w:sz w:val="18"/>
              <w:szCs w:val="18"/>
            </w:rPr>
            <w:fldChar w:fldCharType="separate"/>
          </w:r>
          <w:r w:rsidRPr="000D0C44">
            <w:rPr>
              <w:sz w:val="18"/>
              <w:szCs w:val="18"/>
            </w:rPr>
            <w:t>26</w:t>
          </w:r>
          <w:r w:rsidRPr="000D0C44">
            <w:rPr>
              <w:sz w:val="18"/>
              <w:szCs w:val="18"/>
            </w:rPr>
            <w:fldChar w:fldCharType="end"/>
          </w:r>
        </w:p>
      </w:tc>
    </w:tr>
  </w:tbl>
  <w:p w14:paraId="09332A3D" w14:textId="77777777" w:rsidR="00C718E1" w:rsidRDefault="00C718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9DA39" w14:textId="77777777" w:rsidR="00C718E1" w:rsidRDefault="00C718E1"/>
  <w:tbl>
    <w:tblPr>
      <w:tblW w:w="15023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9"/>
      <w:gridCol w:w="5950"/>
      <w:gridCol w:w="6364"/>
    </w:tblGrid>
    <w:tr w:rsidR="00C718E1" w14:paraId="2CD34322" w14:textId="77777777" w:rsidTr="001B4B59">
      <w:trPr>
        <w:cantSplit/>
        <w:trHeight w:val="1141"/>
      </w:trPr>
      <w:tc>
        <w:tcPr>
          <w:tcW w:w="27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69357221" w14:textId="77777777" w:rsidR="00C718E1" w:rsidRDefault="00C718E1">
          <w:pPr>
            <w:tabs>
              <w:tab w:val="left" w:pos="1134"/>
            </w:tabs>
            <w:spacing w:line="240" w:lineRule="atLeast"/>
            <w:jc w:val="center"/>
          </w:pPr>
          <w:r>
            <w:rPr>
              <w:noProof/>
            </w:rPr>
            <w:drawing>
              <wp:inline distT="0" distB="0" distL="0" distR="0" wp14:anchorId="39B03904" wp14:editId="38882572">
                <wp:extent cx="1055370" cy="3429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684963" w14:textId="77777777" w:rsidR="00C718E1" w:rsidRDefault="00C718E1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</w:p>
      </w:tc>
      <w:tc>
        <w:tcPr>
          <w:tcW w:w="595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35D42CF0" w14:textId="77777777" w:rsidR="00C718E1" w:rsidRDefault="00C718E1">
          <w:pPr>
            <w:tabs>
              <w:tab w:val="left" w:pos="602"/>
            </w:tabs>
            <w:spacing w:line="240" w:lineRule="atLeast"/>
            <w:rPr>
              <w:b/>
              <w:caps/>
              <w:sz w:val="8"/>
              <w:szCs w:val="16"/>
            </w:rPr>
          </w:pPr>
        </w:p>
        <w:p w14:paraId="27CCC217" w14:textId="77777777" w:rsidR="00C718E1" w:rsidRDefault="00C718E1">
          <w:pPr>
            <w:tabs>
              <w:tab w:val="left" w:pos="602"/>
            </w:tabs>
            <w:spacing w:before="120" w:after="120"/>
            <w:jc w:val="center"/>
          </w:pPr>
          <w:r>
            <w:rPr>
              <w:b/>
              <w:caps/>
              <w:sz w:val="20"/>
            </w:rPr>
            <w:t>CSI Piemonte</w:t>
          </w:r>
        </w:p>
        <w:p w14:paraId="504615F8" w14:textId="77777777" w:rsidR="002B46C8" w:rsidRDefault="002B46C8" w:rsidP="002B46C8">
          <w:pPr>
            <w:spacing w:before="120" w:after="120"/>
            <w:ind w:left="213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t>soluzione di posto operatore VoIP SIP</w:t>
          </w:r>
        </w:p>
        <w:p w14:paraId="00104E56" w14:textId="77777777" w:rsidR="00C718E1" w:rsidRDefault="00C718E1">
          <w:pPr>
            <w:spacing w:before="120" w:after="120"/>
            <w:ind w:left="213"/>
            <w:jc w:val="center"/>
          </w:pPr>
          <w:r>
            <w:rPr>
              <w:b/>
              <w:caps/>
              <w:sz w:val="20"/>
            </w:rPr>
            <w:t>requisiti tecnico-funzionali e modalità DI FORNITURA</w:t>
          </w:r>
        </w:p>
      </w:tc>
      <w:tc>
        <w:tcPr>
          <w:tcW w:w="636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0C99F736" w14:textId="77777777" w:rsidR="00C718E1" w:rsidRDefault="00C718E1">
          <w:pPr>
            <w:spacing w:before="80"/>
            <w:jc w:val="center"/>
          </w:pPr>
          <w:r>
            <w:rPr>
              <w:sz w:val="20"/>
            </w:rPr>
            <w:t>ALLEGATO 1</w:t>
          </w:r>
        </w:p>
        <w:p w14:paraId="09AD8E6A" w14:textId="21F4E0BC" w:rsidR="00C718E1" w:rsidRDefault="00C718E1">
          <w:pPr>
            <w:spacing w:before="80"/>
            <w:jc w:val="center"/>
          </w:pPr>
          <w:r>
            <w:rPr>
              <w:sz w:val="20"/>
            </w:rPr>
            <w:fldChar w:fldCharType="begin"/>
          </w:r>
          <w:r>
            <w:instrText>FILENAME</w:instrText>
          </w:r>
          <w:r>
            <w:fldChar w:fldCharType="separate"/>
          </w:r>
          <w:r w:rsidR="002B46C8">
            <w:rPr>
              <w:noProof/>
            </w:rPr>
            <w:t>APIM_Soluzione_PO_SpecificheTecnico-funzionali</w:t>
          </w:r>
          <w:r>
            <w:fldChar w:fldCharType="end"/>
          </w:r>
        </w:p>
        <w:p w14:paraId="623D37B0" w14:textId="77777777" w:rsidR="00C718E1" w:rsidRDefault="00C718E1">
          <w:pPr>
            <w:tabs>
              <w:tab w:val="left" w:pos="1134"/>
            </w:tabs>
            <w:spacing w:line="240" w:lineRule="atLeast"/>
            <w:jc w:val="center"/>
            <w:rPr>
              <w:sz w:val="20"/>
              <w:lang w:val="fr-FR"/>
            </w:rPr>
          </w:pPr>
        </w:p>
        <w:p w14:paraId="618E5803" w14:textId="77777777" w:rsidR="00C718E1" w:rsidRDefault="00C718E1">
          <w:pPr>
            <w:tabs>
              <w:tab w:val="left" w:pos="1134"/>
            </w:tabs>
            <w:spacing w:after="240" w:line="240" w:lineRule="atLeast"/>
            <w:jc w:val="center"/>
          </w:pPr>
          <w:r>
            <w:rPr>
              <w:sz w:val="20"/>
              <w:lang w:val="fr-FR"/>
            </w:rPr>
            <w:t xml:space="preserve">Pag. </w:t>
          </w:r>
          <w:r>
            <w:rPr>
              <w:sz w:val="20"/>
              <w:lang w:val="fr-FR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rPr>
              <w:sz w:val="20"/>
            </w:rPr>
            <w:t xml:space="preserve"> di </w:t>
          </w:r>
          <w:bookmarkStart w:id="10" w:name="_Toc5063674761111"/>
          <w:bookmarkStart w:id="11" w:name="_Toc5056840711111"/>
          <w:bookmarkEnd w:id="10"/>
          <w:bookmarkEnd w:id="11"/>
          <w:r>
            <w:rPr>
              <w:rStyle w:val="Numeropagina"/>
              <w:sz w:val="20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t>26</w:t>
          </w:r>
          <w:r>
            <w:fldChar w:fldCharType="end"/>
          </w:r>
        </w:p>
      </w:tc>
    </w:tr>
  </w:tbl>
  <w:p w14:paraId="3FC3333D" w14:textId="77777777" w:rsidR="00C718E1" w:rsidRDefault="00C718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07DF"/>
    <w:multiLevelType w:val="multilevel"/>
    <w:tmpl w:val="677EC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66915"/>
    <w:multiLevelType w:val="hybridMultilevel"/>
    <w:tmpl w:val="3B4C316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B72FC7"/>
    <w:multiLevelType w:val="multilevel"/>
    <w:tmpl w:val="4B2EA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9E39E3"/>
    <w:multiLevelType w:val="multilevel"/>
    <w:tmpl w:val="16123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7C2C99"/>
    <w:multiLevelType w:val="multilevel"/>
    <w:tmpl w:val="513E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356F0"/>
    <w:multiLevelType w:val="multilevel"/>
    <w:tmpl w:val="F5BA9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E9352F"/>
    <w:multiLevelType w:val="multilevel"/>
    <w:tmpl w:val="0832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E3E05CD"/>
    <w:multiLevelType w:val="multilevel"/>
    <w:tmpl w:val="53985D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A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10"/>
    <w:rsid w:val="00005A5D"/>
    <w:rsid w:val="00010AB6"/>
    <w:rsid w:val="000114E8"/>
    <w:rsid w:val="0002192E"/>
    <w:rsid w:val="000232AD"/>
    <w:rsid w:val="00024796"/>
    <w:rsid w:val="000261D5"/>
    <w:rsid w:val="00036D1A"/>
    <w:rsid w:val="00036F23"/>
    <w:rsid w:val="00037161"/>
    <w:rsid w:val="00053576"/>
    <w:rsid w:val="000603EE"/>
    <w:rsid w:val="00066051"/>
    <w:rsid w:val="00075BB7"/>
    <w:rsid w:val="00077D8D"/>
    <w:rsid w:val="00083DF6"/>
    <w:rsid w:val="00087A0B"/>
    <w:rsid w:val="000A1FEA"/>
    <w:rsid w:val="000A5215"/>
    <w:rsid w:val="000B043B"/>
    <w:rsid w:val="000D0C44"/>
    <w:rsid w:val="000D50A9"/>
    <w:rsid w:val="000F62CC"/>
    <w:rsid w:val="00102890"/>
    <w:rsid w:val="00104922"/>
    <w:rsid w:val="001077F8"/>
    <w:rsid w:val="0011368D"/>
    <w:rsid w:val="00115529"/>
    <w:rsid w:val="00134D53"/>
    <w:rsid w:val="00144F41"/>
    <w:rsid w:val="001473BB"/>
    <w:rsid w:val="001575BB"/>
    <w:rsid w:val="001815E8"/>
    <w:rsid w:val="00181EAA"/>
    <w:rsid w:val="00182668"/>
    <w:rsid w:val="0018279E"/>
    <w:rsid w:val="0018387A"/>
    <w:rsid w:val="001861C7"/>
    <w:rsid w:val="001A0DB6"/>
    <w:rsid w:val="001A2530"/>
    <w:rsid w:val="001B2609"/>
    <w:rsid w:val="001B3AB7"/>
    <w:rsid w:val="001B4B59"/>
    <w:rsid w:val="001E6045"/>
    <w:rsid w:val="001E6A20"/>
    <w:rsid w:val="001F45B0"/>
    <w:rsid w:val="002227B4"/>
    <w:rsid w:val="0022414B"/>
    <w:rsid w:val="00272570"/>
    <w:rsid w:val="00274A1C"/>
    <w:rsid w:val="002927A8"/>
    <w:rsid w:val="002940C6"/>
    <w:rsid w:val="002A61EE"/>
    <w:rsid w:val="002B46C8"/>
    <w:rsid w:val="002B6763"/>
    <w:rsid w:val="002C2293"/>
    <w:rsid w:val="002C22FF"/>
    <w:rsid w:val="002D14C9"/>
    <w:rsid w:val="002D4810"/>
    <w:rsid w:val="002D669A"/>
    <w:rsid w:val="002E268C"/>
    <w:rsid w:val="002E5504"/>
    <w:rsid w:val="002F02BA"/>
    <w:rsid w:val="002F0469"/>
    <w:rsid w:val="002F61DD"/>
    <w:rsid w:val="00322714"/>
    <w:rsid w:val="00330243"/>
    <w:rsid w:val="00337439"/>
    <w:rsid w:val="00361836"/>
    <w:rsid w:val="00373BE8"/>
    <w:rsid w:val="00381624"/>
    <w:rsid w:val="0039006A"/>
    <w:rsid w:val="00396308"/>
    <w:rsid w:val="003B4BE6"/>
    <w:rsid w:val="003C37B3"/>
    <w:rsid w:val="003C45C6"/>
    <w:rsid w:val="003D21BA"/>
    <w:rsid w:val="003D5778"/>
    <w:rsid w:val="003E2F8D"/>
    <w:rsid w:val="003F003E"/>
    <w:rsid w:val="003F6AD3"/>
    <w:rsid w:val="00404FCA"/>
    <w:rsid w:val="00405FDD"/>
    <w:rsid w:val="0041138A"/>
    <w:rsid w:val="004151B4"/>
    <w:rsid w:val="0041560A"/>
    <w:rsid w:val="004204D8"/>
    <w:rsid w:val="00422CAE"/>
    <w:rsid w:val="0043691D"/>
    <w:rsid w:val="00436CF9"/>
    <w:rsid w:val="00453BD3"/>
    <w:rsid w:val="004551D8"/>
    <w:rsid w:val="004678FE"/>
    <w:rsid w:val="00477E78"/>
    <w:rsid w:val="00480252"/>
    <w:rsid w:val="00492008"/>
    <w:rsid w:val="004A0B82"/>
    <w:rsid w:val="004B04B1"/>
    <w:rsid w:val="004C01C6"/>
    <w:rsid w:val="004C084B"/>
    <w:rsid w:val="004E5331"/>
    <w:rsid w:val="004F1C9F"/>
    <w:rsid w:val="004F3596"/>
    <w:rsid w:val="004F369C"/>
    <w:rsid w:val="004F6BBA"/>
    <w:rsid w:val="00511E33"/>
    <w:rsid w:val="005301BF"/>
    <w:rsid w:val="00546463"/>
    <w:rsid w:val="00563187"/>
    <w:rsid w:val="005651A1"/>
    <w:rsid w:val="00590E10"/>
    <w:rsid w:val="005957B5"/>
    <w:rsid w:val="005978BC"/>
    <w:rsid w:val="005A1695"/>
    <w:rsid w:val="005A59FA"/>
    <w:rsid w:val="005A6139"/>
    <w:rsid w:val="005B07D3"/>
    <w:rsid w:val="005B337A"/>
    <w:rsid w:val="005B63CA"/>
    <w:rsid w:val="005B74C6"/>
    <w:rsid w:val="005B7FE4"/>
    <w:rsid w:val="005C789C"/>
    <w:rsid w:val="005D5880"/>
    <w:rsid w:val="005E21DC"/>
    <w:rsid w:val="005E3805"/>
    <w:rsid w:val="005E7EB5"/>
    <w:rsid w:val="00600965"/>
    <w:rsid w:val="006132D7"/>
    <w:rsid w:val="0061445A"/>
    <w:rsid w:val="00614506"/>
    <w:rsid w:val="00621B5F"/>
    <w:rsid w:val="006237FC"/>
    <w:rsid w:val="00630CE4"/>
    <w:rsid w:val="00630F09"/>
    <w:rsid w:val="00651D22"/>
    <w:rsid w:val="006525E9"/>
    <w:rsid w:val="00654F3C"/>
    <w:rsid w:val="00657257"/>
    <w:rsid w:val="00682A01"/>
    <w:rsid w:val="00685CB1"/>
    <w:rsid w:val="00691A0C"/>
    <w:rsid w:val="006A0758"/>
    <w:rsid w:val="006A5632"/>
    <w:rsid w:val="006A68FA"/>
    <w:rsid w:val="006B1007"/>
    <w:rsid w:val="006B5495"/>
    <w:rsid w:val="006D7B9E"/>
    <w:rsid w:val="006E02B3"/>
    <w:rsid w:val="006E5046"/>
    <w:rsid w:val="006F4593"/>
    <w:rsid w:val="007011D8"/>
    <w:rsid w:val="00706A2C"/>
    <w:rsid w:val="007141F2"/>
    <w:rsid w:val="00716888"/>
    <w:rsid w:val="007230C0"/>
    <w:rsid w:val="007231A3"/>
    <w:rsid w:val="00741AC4"/>
    <w:rsid w:val="00750328"/>
    <w:rsid w:val="00750C8D"/>
    <w:rsid w:val="00751D3F"/>
    <w:rsid w:val="00751F00"/>
    <w:rsid w:val="00760121"/>
    <w:rsid w:val="007668A6"/>
    <w:rsid w:val="00772C2E"/>
    <w:rsid w:val="0077794A"/>
    <w:rsid w:val="00790893"/>
    <w:rsid w:val="007A6561"/>
    <w:rsid w:val="007C32A8"/>
    <w:rsid w:val="007E2278"/>
    <w:rsid w:val="007F69A0"/>
    <w:rsid w:val="007F6B84"/>
    <w:rsid w:val="008010FA"/>
    <w:rsid w:val="00801EE3"/>
    <w:rsid w:val="008109C9"/>
    <w:rsid w:val="00820246"/>
    <w:rsid w:val="008217DA"/>
    <w:rsid w:val="00822B03"/>
    <w:rsid w:val="00840A4B"/>
    <w:rsid w:val="008451DA"/>
    <w:rsid w:val="008628D0"/>
    <w:rsid w:val="00890E92"/>
    <w:rsid w:val="00893E62"/>
    <w:rsid w:val="008A6603"/>
    <w:rsid w:val="008B24F5"/>
    <w:rsid w:val="008B32A5"/>
    <w:rsid w:val="008C6271"/>
    <w:rsid w:val="008C664C"/>
    <w:rsid w:val="008C6B79"/>
    <w:rsid w:val="008D1B0D"/>
    <w:rsid w:val="008E05F1"/>
    <w:rsid w:val="008E2A8D"/>
    <w:rsid w:val="008E52FC"/>
    <w:rsid w:val="008E53AD"/>
    <w:rsid w:val="008F2C3F"/>
    <w:rsid w:val="00901AEF"/>
    <w:rsid w:val="0090358F"/>
    <w:rsid w:val="00913F3A"/>
    <w:rsid w:val="00924AEB"/>
    <w:rsid w:val="00945FF0"/>
    <w:rsid w:val="00951990"/>
    <w:rsid w:val="00952661"/>
    <w:rsid w:val="009568BE"/>
    <w:rsid w:val="00962087"/>
    <w:rsid w:val="009701E8"/>
    <w:rsid w:val="00994A59"/>
    <w:rsid w:val="009A325D"/>
    <w:rsid w:val="009A7125"/>
    <w:rsid w:val="009B2F75"/>
    <w:rsid w:val="009C194B"/>
    <w:rsid w:val="009D1AAA"/>
    <w:rsid w:val="00A00C74"/>
    <w:rsid w:val="00A20E4E"/>
    <w:rsid w:val="00A2188D"/>
    <w:rsid w:val="00A2311A"/>
    <w:rsid w:val="00A23532"/>
    <w:rsid w:val="00A26592"/>
    <w:rsid w:val="00A31D02"/>
    <w:rsid w:val="00A3397F"/>
    <w:rsid w:val="00A410BA"/>
    <w:rsid w:val="00A6301C"/>
    <w:rsid w:val="00A77C4C"/>
    <w:rsid w:val="00A817BB"/>
    <w:rsid w:val="00A94DA3"/>
    <w:rsid w:val="00A97B8A"/>
    <w:rsid w:val="00AA4A1C"/>
    <w:rsid w:val="00AB739F"/>
    <w:rsid w:val="00AD7C8D"/>
    <w:rsid w:val="00AE5F03"/>
    <w:rsid w:val="00AE7DE6"/>
    <w:rsid w:val="00AF226E"/>
    <w:rsid w:val="00B0647A"/>
    <w:rsid w:val="00B44E1D"/>
    <w:rsid w:val="00B452C2"/>
    <w:rsid w:val="00B52980"/>
    <w:rsid w:val="00B53565"/>
    <w:rsid w:val="00B71CE9"/>
    <w:rsid w:val="00B75A0E"/>
    <w:rsid w:val="00B969BC"/>
    <w:rsid w:val="00BA1467"/>
    <w:rsid w:val="00BB0CCE"/>
    <w:rsid w:val="00BB2039"/>
    <w:rsid w:val="00BC2567"/>
    <w:rsid w:val="00BC39F6"/>
    <w:rsid w:val="00BD6EC6"/>
    <w:rsid w:val="00BE3490"/>
    <w:rsid w:val="00BF14B0"/>
    <w:rsid w:val="00C05E7B"/>
    <w:rsid w:val="00C071C4"/>
    <w:rsid w:val="00C117C2"/>
    <w:rsid w:val="00C1784B"/>
    <w:rsid w:val="00C20919"/>
    <w:rsid w:val="00C21C66"/>
    <w:rsid w:val="00C27892"/>
    <w:rsid w:val="00C34663"/>
    <w:rsid w:val="00C45E97"/>
    <w:rsid w:val="00C53B44"/>
    <w:rsid w:val="00C63032"/>
    <w:rsid w:val="00C6418D"/>
    <w:rsid w:val="00C6514E"/>
    <w:rsid w:val="00C66E5C"/>
    <w:rsid w:val="00C718E1"/>
    <w:rsid w:val="00C77543"/>
    <w:rsid w:val="00C77869"/>
    <w:rsid w:val="00C823D0"/>
    <w:rsid w:val="00CA0B7E"/>
    <w:rsid w:val="00CA17CE"/>
    <w:rsid w:val="00CB0DC2"/>
    <w:rsid w:val="00CB5154"/>
    <w:rsid w:val="00CC2E0E"/>
    <w:rsid w:val="00CC567A"/>
    <w:rsid w:val="00CD6B14"/>
    <w:rsid w:val="00CD7D30"/>
    <w:rsid w:val="00CE5544"/>
    <w:rsid w:val="00CF3A8B"/>
    <w:rsid w:val="00D00C24"/>
    <w:rsid w:val="00D11CDD"/>
    <w:rsid w:val="00D1319F"/>
    <w:rsid w:val="00D21C78"/>
    <w:rsid w:val="00D34A0A"/>
    <w:rsid w:val="00D40FBE"/>
    <w:rsid w:val="00D431C3"/>
    <w:rsid w:val="00D56841"/>
    <w:rsid w:val="00D62EED"/>
    <w:rsid w:val="00D646D0"/>
    <w:rsid w:val="00D83C80"/>
    <w:rsid w:val="00D844C6"/>
    <w:rsid w:val="00D85406"/>
    <w:rsid w:val="00D906F4"/>
    <w:rsid w:val="00D95A9C"/>
    <w:rsid w:val="00DB0FDF"/>
    <w:rsid w:val="00DC0D59"/>
    <w:rsid w:val="00DC2FA7"/>
    <w:rsid w:val="00DC7143"/>
    <w:rsid w:val="00DD2C2C"/>
    <w:rsid w:val="00DD5194"/>
    <w:rsid w:val="00DF0A42"/>
    <w:rsid w:val="00DF4802"/>
    <w:rsid w:val="00E10E1E"/>
    <w:rsid w:val="00E16121"/>
    <w:rsid w:val="00E23025"/>
    <w:rsid w:val="00E30E90"/>
    <w:rsid w:val="00E4049D"/>
    <w:rsid w:val="00E41786"/>
    <w:rsid w:val="00E424CC"/>
    <w:rsid w:val="00E4691F"/>
    <w:rsid w:val="00E53501"/>
    <w:rsid w:val="00E5622A"/>
    <w:rsid w:val="00E711E3"/>
    <w:rsid w:val="00E72AC7"/>
    <w:rsid w:val="00EB41AE"/>
    <w:rsid w:val="00EC50CD"/>
    <w:rsid w:val="00EC5FE8"/>
    <w:rsid w:val="00ED244A"/>
    <w:rsid w:val="00ED2FBE"/>
    <w:rsid w:val="00EE6475"/>
    <w:rsid w:val="00EF0D66"/>
    <w:rsid w:val="00EF14FE"/>
    <w:rsid w:val="00EF3103"/>
    <w:rsid w:val="00EF4CE8"/>
    <w:rsid w:val="00F01951"/>
    <w:rsid w:val="00F13198"/>
    <w:rsid w:val="00F24A7F"/>
    <w:rsid w:val="00F26929"/>
    <w:rsid w:val="00F30262"/>
    <w:rsid w:val="00F33C14"/>
    <w:rsid w:val="00F33EE7"/>
    <w:rsid w:val="00F61058"/>
    <w:rsid w:val="00F61722"/>
    <w:rsid w:val="00F62B10"/>
    <w:rsid w:val="00F653EB"/>
    <w:rsid w:val="00F6598E"/>
    <w:rsid w:val="00F7056E"/>
    <w:rsid w:val="00F76109"/>
    <w:rsid w:val="00F84330"/>
    <w:rsid w:val="00F90FF4"/>
    <w:rsid w:val="00FC448F"/>
    <w:rsid w:val="00FC4887"/>
    <w:rsid w:val="00FC6D36"/>
    <w:rsid w:val="00FD5F66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B368E8"/>
  <w15:docId w15:val="{A9603DCA-8D15-4950-8E56-A3642880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autoRedefine/>
    <w:qFormat/>
    <w:rsid w:val="009F7D5E"/>
    <w:pPr>
      <w:keepNext/>
      <w:widowControl w:val="0"/>
      <w:spacing w:before="120"/>
      <w:jc w:val="both"/>
      <w:outlineLvl w:val="0"/>
    </w:pPr>
    <w:rPr>
      <w:rFonts w:ascii="Times New (W1)" w:hAnsi="Times New (W1)"/>
      <w:b/>
      <w:szCs w:val="24"/>
      <w:u w:val="single"/>
    </w:rPr>
  </w:style>
  <w:style w:type="paragraph" w:styleId="Titolo2">
    <w:name w:val="heading 2"/>
    <w:basedOn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link w:val="Titolo3Carattere"/>
    <w:qFormat/>
    <w:pPr>
      <w:keepNext/>
      <w:outlineLvl w:val="2"/>
    </w:pPr>
    <w:rPr>
      <w:b/>
      <w:lang w:val="x-none" w:eastAsia="x-none"/>
    </w:rPr>
  </w:style>
  <w:style w:type="paragraph" w:styleId="Titolo4">
    <w:name w:val="heading 4"/>
    <w:basedOn w:val="Normale"/>
    <w:qFormat/>
    <w:pPr>
      <w:keepNext/>
      <w:spacing w:before="240" w:after="60"/>
      <w:outlineLvl w:val="3"/>
    </w:pPr>
    <w:rPr>
      <w:rFonts w:ascii="Times New (W1)" w:hAnsi="Times New (W1)"/>
    </w:rPr>
  </w:style>
  <w:style w:type="paragraph" w:styleId="Titolo5">
    <w:name w:val="heading 5"/>
    <w:basedOn w:val="Normale"/>
    <w:qFormat/>
    <w:pPr>
      <w:spacing w:before="240" w:after="60"/>
      <w:outlineLvl w:val="4"/>
    </w:pPr>
    <w:rPr>
      <w:sz w:val="20"/>
      <w:lang w:val="en-US"/>
    </w:rPr>
  </w:style>
  <w:style w:type="paragraph" w:styleId="Titolo6">
    <w:name w:val="heading 6"/>
    <w:basedOn w:val="Normale"/>
    <w:qFormat/>
    <w:pPr>
      <w:spacing w:before="240" w:after="60"/>
      <w:outlineLvl w:val="5"/>
    </w:pPr>
    <w:rPr>
      <w:i/>
      <w:sz w:val="22"/>
      <w:lang w:val="en-US"/>
    </w:rPr>
  </w:style>
  <w:style w:type="paragraph" w:styleId="Titolo7">
    <w:name w:val="heading 7"/>
    <w:basedOn w:val="Normale"/>
    <w:qFormat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Titolo8">
    <w:name w:val="heading 8"/>
    <w:basedOn w:val="Normale"/>
    <w:qFormat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Titolo9">
    <w:name w:val="heading 9"/>
    <w:basedOn w:val="Normale"/>
    <w:qFormat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qFormat/>
    <w:rsid w:val="00662BA4"/>
    <w:rPr>
      <w:b/>
      <w:sz w:val="24"/>
    </w:rPr>
  </w:style>
  <w:style w:type="character" w:customStyle="1" w:styleId="Titolo3Carattere">
    <w:name w:val="Titolo 3 Carattere"/>
    <w:link w:val="Titolo3"/>
    <w:qFormat/>
    <w:rsid w:val="003A394E"/>
    <w:rPr>
      <w:b/>
      <w:sz w:val="24"/>
      <w:lang w:val="x-none" w:eastAsia="x-none"/>
    </w:rPr>
  </w:style>
  <w:style w:type="character" w:styleId="Numeropagina">
    <w:name w:val="page number"/>
    <w:basedOn w:val="Carpredefinitoparagrafo"/>
    <w:semiHidden/>
    <w:qFormat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uiPriority w:val="99"/>
    <w:semiHidden/>
    <w:qFormat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80B54"/>
    <w:rPr>
      <w:rFonts w:ascii="Tahoma" w:hAnsi="Tahoma" w:cs="Tahoma"/>
      <w:sz w:val="16"/>
      <w:szCs w:val="16"/>
    </w:rPr>
  </w:style>
  <w:style w:type="character" w:customStyle="1" w:styleId="Titolo22Carattere">
    <w:name w:val="Titolo 22 Carattere"/>
    <w:link w:val="Titolo22"/>
    <w:qFormat/>
    <w:rsid w:val="00662BA4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02090B"/>
  </w:style>
  <w:style w:type="character" w:styleId="Rimandonotaapidipagina">
    <w:name w:val="footnote reference"/>
    <w:semiHidden/>
    <w:qFormat/>
    <w:rsid w:val="0002090B"/>
    <w:rPr>
      <w:vertAlign w:val="superscript"/>
    </w:rPr>
  </w:style>
  <w:style w:type="character" w:customStyle="1" w:styleId="st">
    <w:name w:val="st"/>
    <w:qFormat/>
    <w:rsid w:val="00D5505B"/>
  </w:style>
  <w:style w:type="character" w:styleId="Rimandocommento">
    <w:name w:val="annotation reference"/>
    <w:uiPriority w:val="99"/>
    <w:semiHidden/>
    <w:unhideWhenUsed/>
    <w:qFormat/>
    <w:rsid w:val="00E0313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0313E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E0313E"/>
    <w:rPr>
      <w:b/>
      <w:bCs/>
    </w:rPr>
  </w:style>
  <w:style w:type="character" w:customStyle="1" w:styleId="normaltextrun">
    <w:name w:val="normaltextrun"/>
    <w:basedOn w:val="Carpredefinitoparagrafo"/>
    <w:qFormat/>
    <w:rsid w:val="00827FB3"/>
  </w:style>
  <w:style w:type="character" w:customStyle="1" w:styleId="spellingerror">
    <w:name w:val="spellingerror"/>
    <w:basedOn w:val="Carpredefinitoparagrafo"/>
    <w:qFormat/>
    <w:rsid w:val="00827FB3"/>
  </w:style>
  <w:style w:type="character" w:customStyle="1" w:styleId="eop">
    <w:name w:val="eop"/>
    <w:basedOn w:val="Carpredefinitoparagrafo"/>
    <w:qFormat/>
    <w:rsid w:val="00827FB3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8F194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rFonts w:ascii="Arial" w:hAnsi="Arial"/>
      <w:b/>
      <w:sz w:val="36"/>
      <w:lang w:val="en-US" w:eastAsia="en-US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rsid w:val="0002090B"/>
    <w:pPr>
      <w:keepLines/>
      <w:spacing w:before="120" w:after="360" w:line="340" w:lineRule="atLeast"/>
      <w:jc w:val="center"/>
    </w:pPr>
    <w:rPr>
      <w:rFonts w:ascii="Arial" w:hAnsi="Arial"/>
      <w:b/>
      <w:sz w:val="20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InfoBlue">
    <w:name w:val="InfoBlue"/>
    <w:basedOn w:val="Normale"/>
    <w:autoRedefine/>
    <w:qFormat/>
    <w:rsid w:val="00F43621"/>
    <w:pPr>
      <w:widowControl w:val="0"/>
      <w:spacing w:after="120" w:line="240" w:lineRule="atLeast"/>
    </w:pPr>
    <w:rPr>
      <w:i/>
      <w:color w:val="0000FF"/>
      <w:sz w:val="20"/>
    </w:rPr>
  </w:style>
  <w:style w:type="paragraph" w:styleId="Sommario2">
    <w:name w:val="toc 2"/>
    <w:basedOn w:val="Sommario1"/>
    <w:autoRedefine/>
    <w:uiPriority w:val="39"/>
    <w:pPr>
      <w:spacing w:before="0" w:after="0"/>
      <w:ind w:left="240"/>
    </w:pPr>
    <w:rPr>
      <w:b/>
      <w:bCs w:val="0"/>
      <w:smallCaps/>
    </w:rPr>
  </w:style>
  <w:style w:type="paragraph" w:styleId="Sommario1">
    <w:name w:val="toc 1"/>
    <w:basedOn w:val="Normale"/>
    <w:autoRedefine/>
    <w:uiPriority w:val="39"/>
    <w:rsid w:val="008712FD"/>
    <w:pPr>
      <w:spacing w:before="120" w:after="120"/>
    </w:pPr>
    <w:rPr>
      <w:bCs/>
      <w:caps/>
      <w:szCs w:val="24"/>
    </w:rPr>
  </w:style>
  <w:style w:type="paragraph" w:styleId="Indice1">
    <w:name w:val="index 1"/>
    <w:basedOn w:val="Normale"/>
    <w:semiHidden/>
    <w:qFormat/>
    <w:pPr>
      <w:jc w:val="both"/>
    </w:pPr>
    <w:rPr>
      <w:sz w:val="22"/>
    </w:rPr>
  </w:style>
  <w:style w:type="paragraph" w:styleId="Formuladichiusura">
    <w:name w:val="Closing"/>
    <w:basedOn w:val="Normale"/>
    <w:semiHidden/>
    <w:qFormat/>
    <w:pPr>
      <w:keepNext/>
      <w:spacing w:line="220" w:lineRule="atLeast"/>
    </w:pPr>
    <w:rPr>
      <w:rFonts w:ascii="Arial" w:hAnsi="Arial"/>
      <w:spacing w:val="-5"/>
      <w:sz w:val="20"/>
    </w:rPr>
  </w:style>
  <w:style w:type="paragraph" w:styleId="Rientrocorpodeltesto">
    <w:name w:val="Body Text Indent"/>
    <w:basedOn w:val="Normale"/>
    <w:semiHidden/>
    <w:pPr>
      <w:ind w:left="709"/>
    </w:pPr>
    <w:rPr>
      <w:i/>
      <w:iCs/>
      <w:color w:val="FF0000"/>
      <w:sz w:val="20"/>
    </w:rPr>
  </w:style>
  <w:style w:type="paragraph" w:styleId="Rientrocorpodeltesto2">
    <w:name w:val="Body Text Indent 2"/>
    <w:basedOn w:val="Normale"/>
    <w:semiHidden/>
    <w:qFormat/>
    <w:pPr>
      <w:ind w:left="120"/>
    </w:pPr>
    <w:rPr>
      <w:rFonts w:ascii="Courier New" w:hAnsi="Courier New" w:cs="Courier New"/>
      <w:sz w:val="18"/>
    </w:rPr>
  </w:style>
  <w:style w:type="paragraph" w:styleId="Rientrocorpodeltesto3">
    <w:name w:val="Body Text Indent 3"/>
    <w:basedOn w:val="Normale"/>
    <w:semiHidden/>
    <w:qFormat/>
    <w:pPr>
      <w:ind w:left="-284"/>
    </w:pPr>
    <w:rPr>
      <w:rFonts w:ascii="Courier New" w:hAnsi="Courier New" w:cs="Courier New"/>
      <w:sz w:val="18"/>
    </w:rPr>
  </w:style>
  <w:style w:type="paragraph" w:customStyle="1" w:styleId="Paragraph1">
    <w:name w:val="Paragraph1"/>
    <w:basedOn w:val="Normale"/>
    <w:qFormat/>
    <w:pPr>
      <w:widowControl w:val="0"/>
      <w:spacing w:before="80"/>
      <w:jc w:val="both"/>
    </w:pPr>
    <w:rPr>
      <w:sz w:val="20"/>
      <w:lang w:val="en-US" w:eastAsia="en-US"/>
    </w:rPr>
  </w:style>
  <w:style w:type="paragraph" w:styleId="Sommario3">
    <w:name w:val="toc 3"/>
    <w:basedOn w:val="Normale"/>
    <w:autoRedefine/>
    <w:uiPriority w:val="39"/>
    <w:pPr>
      <w:ind w:left="480"/>
    </w:pPr>
    <w:rPr>
      <w:i/>
      <w:iCs/>
      <w:szCs w:val="24"/>
    </w:rPr>
  </w:style>
  <w:style w:type="paragraph" w:styleId="Sommario4">
    <w:name w:val="toc 4"/>
    <w:basedOn w:val="Normale"/>
    <w:autoRedefine/>
    <w:uiPriority w:val="39"/>
    <w:pPr>
      <w:ind w:left="720"/>
    </w:pPr>
    <w:rPr>
      <w:szCs w:val="21"/>
    </w:rPr>
  </w:style>
  <w:style w:type="paragraph" w:styleId="Sommario5">
    <w:name w:val="toc 5"/>
    <w:basedOn w:val="Normale"/>
    <w:autoRedefine/>
    <w:uiPriority w:val="39"/>
    <w:pPr>
      <w:ind w:left="960"/>
    </w:pPr>
    <w:rPr>
      <w:szCs w:val="21"/>
    </w:rPr>
  </w:style>
  <w:style w:type="paragraph" w:styleId="Sommario6">
    <w:name w:val="toc 6"/>
    <w:basedOn w:val="Normale"/>
    <w:autoRedefine/>
    <w:uiPriority w:val="39"/>
    <w:pPr>
      <w:ind w:left="1200"/>
    </w:pPr>
    <w:rPr>
      <w:szCs w:val="21"/>
    </w:rPr>
  </w:style>
  <w:style w:type="paragraph" w:styleId="Sommario7">
    <w:name w:val="toc 7"/>
    <w:basedOn w:val="Normale"/>
    <w:autoRedefine/>
    <w:uiPriority w:val="39"/>
    <w:pPr>
      <w:ind w:left="1440"/>
    </w:pPr>
    <w:rPr>
      <w:szCs w:val="21"/>
    </w:rPr>
  </w:style>
  <w:style w:type="paragraph" w:styleId="Sommario8">
    <w:name w:val="toc 8"/>
    <w:basedOn w:val="Normale"/>
    <w:autoRedefine/>
    <w:uiPriority w:val="39"/>
    <w:pPr>
      <w:ind w:left="1680"/>
    </w:pPr>
    <w:rPr>
      <w:szCs w:val="21"/>
    </w:rPr>
  </w:style>
  <w:style w:type="paragraph" w:styleId="Sommario9">
    <w:name w:val="toc 9"/>
    <w:basedOn w:val="Normale"/>
    <w:autoRedefine/>
    <w:uiPriority w:val="39"/>
    <w:pPr>
      <w:ind w:left="1920"/>
    </w:pPr>
    <w:rPr>
      <w:szCs w:val="21"/>
    </w:rPr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sz w:val="40"/>
    </w:rPr>
  </w:style>
  <w:style w:type="paragraph" w:styleId="Corpodeltesto2">
    <w:name w:val="Body Text 2"/>
    <w:basedOn w:val="Normale"/>
    <w:semiHidden/>
    <w:qFormat/>
    <w:rPr>
      <w:b/>
      <w:bCs/>
      <w:szCs w:val="24"/>
    </w:rPr>
  </w:style>
  <w:style w:type="paragraph" w:styleId="NormaleWeb">
    <w:name w:val="Normal (Web)"/>
    <w:basedOn w:val="Normale"/>
    <w:semiHidden/>
    <w:qFormat/>
    <w:pP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Body">
    <w:name w:val="Body"/>
    <w:basedOn w:val="Normale"/>
    <w:qFormat/>
    <w:pPr>
      <w:spacing w:before="120"/>
      <w:jc w:val="both"/>
    </w:pPr>
    <w:rPr>
      <w:rFonts w:ascii="Book Antiqua" w:hAnsi="Book Antiqua"/>
      <w:sz w:val="20"/>
      <w:lang w:val="en-US" w:eastAsia="en-US"/>
    </w:rPr>
  </w:style>
  <w:style w:type="paragraph" w:styleId="Corpodeltesto3">
    <w:name w:val="Body Text 3"/>
    <w:basedOn w:val="Normale"/>
    <w:semiHidden/>
    <w:qFormat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80B54"/>
    <w:rPr>
      <w:rFonts w:ascii="Tahoma" w:hAnsi="Tahoma"/>
      <w:sz w:val="16"/>
      <w:szCs w:val="16"/>
      <w:lang w:val="x-none" w:eastAsia="x-none"/>
    </w:rPr>
  </w:style>
  <w:style w:type="paragraph" w:customStyle="1" w:styleId="relazioni">
    <w:name w:val="relazioni"/>
    <w:basedOn w:val="Normale"/>
    <w:qFormat/>
    <w:rsid w:val="00766EC9"/>
    <w:pPr>
      <w:jc w:val="both"/>
    </w:pPr>
  </w:style>
  <w:style w:type="paragraph" w:customStyle="1" w:styleId="Default">
    <w:name w:val="Default"/>
    <w:qFormat/>
    <w:rsid w:val="00766EC9"/>
    <w:rPr>
      <w:color w:val="000000"/>
      <w:sz w:val="24"/>
      <w:szCs w:val="24"/>
    </w:rPr>
  </w:style>
  <w:style w:type="paragraph" w:customStyle="1" w:styleId="StilePrimariga05cm">
    <w:name w:val="Stile Prima riga:  05 cm"/>
    <w:basedOn w:val="Normale"/>
    <w:qFormat/>
    <w:rsid w:val="00662BA4"/>
    <w:pPr>
      <w:ind w:firstLine="284"/>
      <w:jc w:val="both"/>
    </w:pPr>
  </w:style>
  <w:style w:type="paragraph" w:customStyle="1" w:styleId="Titolo22">
    <w:name w:val="Titolo 22"/>
    <w:basedOn w:val="Titolo2"/>
    <w:link w:val="Titolo22Carattere"/>
    <w:qFormat/>
    <w:rsid w:val="00662BA4"/>
  </w:style>
  <w:style w:type="paragraph" w:styleId="Paragrafoelenco">
    <w:name w:val="List Paragraph"/>
    <w:basedOn w:val="Normale"/>
    <w:uiPriority w:val="34"/>
    <w:qFormat/>
    <w:rsid w:val="00662BA4"/>
    <w:pPr>
      <w:ind w:left="708"/>
    </w:pPr>
  </w:style>
  <w:style w:type="paragraph" w:styleId="Testonotaapidipagina">
    <w:name w:val="footnote text"/>
    <w:basedOn w:val="Normale"/>
    <w:link w:val="TestonotaapidipaginaCaratter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0313E"/>
    <w:rPr>
      <w:sz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0313E"/>
    <w:rPr>
      <w:b/>
      <w:bCs/>
    </w:rPr>
  </w:style>
  <w:style w:type="table" w:styleId="Grigliatabella">
    <w:name w:val="Table Grid"/>
    <w:basedOn w:val="Tabellanormale"/>
    <w:uiPriority w:val="59"/>
    <w:rsid w:val="00ED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-Colore1">
    <w:name w:val="Medium Grid 1 Accent 1"/>
    <w:basedOn w:val="Tabellanormale"/>
    <w:uiPriority w:val="67"/>
    <w:rsid w:val="00ED600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Revisione">
    <w:name w:val="Revision"/>
    <w:hidden/>
    <w:uiPriority w:val="99"/>
    <w:semiHidden/>
    <w:rsid w:val="005631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1E09E234252E459104515CEA0D0BE8" ma:contentTypeVersion="2" ma:contentTypeDescription="Creare un nuovo documento." ma:contentTypeScope="" ma:versionID="f652d30abc96301f0234f8f1275efcb2">
  <xsd:schema xmlns:xsd="http://www.w3.org/2001/XMLSchema" xmlns:xs="http://www.w3.org/2001/XMLSchema" xmlns:p="http://schemas.microsoft.com/office/2006/metadata/properties" xmlns:ns2="237a89b2-9cf7-4c23-b919-f5e48673ab47" targetNamespace="http://schemas.microsoft.com/office/2006/metadata/properties" ma:root="true" ma:fieldsID="a5e65a2f82c0ca09d56c29b8e35a3500" ns2:_="">
    <xsd:import namespace="237a89b2-9cf7-4c23-b919-f5e48673a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a89b2-9cf7-4c23-b919-f5e48673a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27B08-9B41-41DC-850B-CE11A45FD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853FD-CE6D-49F9-A251-B88D8B85D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C54A15-BF41-4565-B26E-C856351F2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D5F8C5-A2C5-47FE-8971-AA1D893BD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a89b2-9cf7-4c23-b919-f5e48673a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&lt;nome caso d'uso&gt;</vt:lpstr>
    </vt:vector>
  </TitlesOfParts>
  <Company>CSI-Piemonte</Company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&lt;nome caso d'uso&gt;</dc:title>
  <dc:subject>Turismo</dc:subject>
  <dc:creator>pegna</dc:creator>
  <dc:description/>
  <cp:lastModifiedBy>SABATINI Alessio 1961</cp:lastModifiedBy>
  <cp:revision>23</cp:revision>
  <cp:lastPrinted>2019-06-21T11:04:00Z</cp:lastPrinted>
  <dcterms:created xsi:type="dcterms:W3CDTF">2021-07-15T11:56:00Z</dcterms:created>
  <dcterms:modified xsi:type="dcterms:W3CDTF">2021-07-22T07:11:00Z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CSI-Piemonte</vt:lpwstr>
  </property>
  <property fmtid="{D5CDD505-2E9C-101B-9397-08002B2CF9AE}" pid="4" name="ContentTypeId">
    <vt:lpwstr>0x010100951E09E234252E459104515CEA0D0BE8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