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4422D7DC" w:rsidR="00DA6F44" w:rsidRPr="00981707" w:rsidRDefault="00F73565" w:rsidP="00122E5B">
      <w:pPr>
        <w:pStyle w:val="Titolo1"/>
        <w:ind w:left="1134" w:right="-68" w:hanging="1134"/>
        <w:rPr>
          <w:rFonts w:cs="Arial"/>
          <w:b w:val="0"/>
          <w:sz w:val="22"/>
          <w:szCs w:val="22"/>
        </w:rPr>
      </w:pPr>
      <w:r w:rsidRPr="00122E5B">
        <w:rPr>
          <w:rFonts w:cs="Arial"/>
          <w:snapToGrid/>
          <w:color w:val="auto"/>
          <w:sz w:val="22"/>
          <w:szCs w:val="22"/>
        </w:rPr>
        <w:t>Oggetto:</w:t>
      </w:r>
      <w:r w:rsidRPr="00981707">
        <w:rPr>
          <w:rFonts w:cs="Arial"/>
          <w:sz w:val="22"/>
          <w:szCs w:val="22"/>
        </w:rPr>
        <w:tab/>
      </w:r>
      <w:bookmarkStart w:id="0" w:name="_Hlk26195286"/>
      <w:r w:rsidR="006049EE" w:rsidRPr="006049EE">
        <w:rPr>
          <w:rFonts w:cs="Arial"/>
          <w:snapToGrid/>
          <w:color w:val="auto"/>
          <w:sz w:val="22"/>
          <w:szCs w:val="22"/>
        </w:rPr>
        <w:t>Avviso pubblico per la manifestazione di interesse per l’acquisizione a titolo di sperimentazione - e successiva eventuale acquisizione a titolo oneroso - di una soluzione software a supporto dell’esecuzione di audit GDPR di Fornitori Terzi (APIM22_010).</w:t>
      </w:r>
      <w:bookmarkEnd w:id="0"/>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6CD4AC6D" w14:textId="00001F56" w:rsidR="00C628F8" w:rsidRPr="00C628F8" w:rsidRDefault="00C628F8" w:rsidP="00C628F8">
      <w:pPr>
        <w:shd w:val="clear" w:color="auto" w:fill="FFFFFF"/>
        <w:spacing w:after="240"/>
        <w:jc w:val="both"/>
        <w:rPr>
          <w:rFonts w:ascii="Arial" w:hAnsi="Arial" w:cs="Arial"/>
          <w:sz w:val="22"/>
          <w:szCs w:val="22"/>
        </w:rPr>
      </w:pPr>
      <w:r w:rsidRPr="00C628F8">
        <w:rPr>
          <w:rFonts w:ascii="Arial" w:hAnsi="Arial" w:cs="Arial"/>
          <w:sz w:val="22"/>
          <w:szCs w:val="22"/>
        </w:rPr>
        <w:t>e di essere disponibile </w:t>
      </w:r>
      <w:proofErr w:type="gramStart"/>
      <w:r w:rsidRPr="00C628F8">
        <w:rPr>
          <w:rFonts w:ascii="Arial" w:hAnsi="Arial" w:cs="Arial"/>
          <w:sz w:val="22"/>
          <w:szCs w:val="22"/>
        </w:rPr>
        <w:t>ad</w:t>
      </w:r>
      <w:proofErr w:type="gramEnd"/>
      <w:r w:rsidRPr="00C628F8">
        <w:rPr>
          <w:rFonts w:ascii="Arial" w:hAnsi="Arial" w:cs="Arial"/>
          <w:sz w:val="22"/>
          <w:szCs w:val="22"/>
        </w:rPr>
        <w:t xml:space="preserve"> aderire ad un eventuale periodo di sperimentazione della soluzione,</w:t>
      </w:r>
    </w:p>
    <w:p w14:paraId="406171FA" w14:textId="473F46C8" w:rsidR="008302A4" w:rsidRPr="007D434C" w:rsidRDefault="00F73565" w:rsidP="008302A4">
      <w:pPr>
        <w:pStyle w:val="Corpotesto"/>
        <w:autoSpaceDE w:val="0"/>
        <w:autoSpaceDN w:val="0"/>
        <w:adjustRightInd w:val="0"/>
        <w:rPr>
          <w:rFonts w:ascii="Arial" w:hAnsi="Arial" w:cs="Arial"/>
          <w:snapToGrid w:val="0"/>
          <w:sz w:val="22"/>
          <w:szCs w:val="22"/>
        </w:rPr>
      </w:pPr>
      <w:r w:rsidRPr="007D434C">
        <w:rPr>
          <w:rFonts w:ascii="Arial" w:hAnsi="Arial" w:cs="Arial"/>
          <w:sz w:val="22"/>
          <w:szCs w:val="22"/>
        </w:rPr>
        <w:t>e fornisce</w:t>
      </w:r>
      <w:r w:rsidR="008C6A59" w:rsidRPr="007D434C">
        <w:rPr>
          <w:rFonts w:ascii="Arial" w:hAnsi="Arial" w:cs="Arial"/>
          <w:sz w:val="22"/>
          <w:szCs w:val="22"/>
        </w:rPr>
        <w:t xml:space="preserve"> i dati richiesti </w:t>
      </w:r>
      <w:r w:rsidR="00957576" w:rsidRPr="007D434C">
        <w:rPr>
          <w:rFonts w:ascii="Arial" w:hAnsi="Arial" w:cs="Arial"/>
          <w:sz w:val="22"/>
          <w:szCs w:val="22"/>
        </w:rPr>
        <w:t>ne</w:t>
      </w:r>
      <w:r w:rsidR="009F4C6A" w:rsidRPr="007D434C">
        <w:rPr>
          <w:rFonts w:ascii="Arial" w:hAnsi="Arial" w:cs="Arial"/>
          <w:sz w:val="22"/>
          <w:szCs w:val="22"/>
        </w:rPr>
        <w:t xml:space="preserve">i seguenti </w:t>
      </w:r>
      <w:r w:rsidR="00957576" w:rsidRPr="007D434C">
        <w:rPr>
          <w:rFonts w:ascii="Arial" w:hAnsi="Arial" w:cs="Arial"/>
          <w:b/>
          <w:sz w:val="22"/>
          <w:szCs w:val="22"/>
        </w:rPr>
        <w:t>Allegati</w:t>
      </w:r>
      <w:r w:rsidR="009F4C6A" w:rsidRPr="007D434C">
        <w:rPr>
          <w:rFonts w:ascii="Arial" w:hAnsi="Arial" w:cs="Arial"/>
          <w:sz w:val="22"/>
          <w:szCs w:val="22"/>
        </w:rPr>
        <w:t>:</w:t>
      </w:r>
      <w:r w:rsidR="008302A4" w:rsidRPr="007D434C">
        <w:rPr>
          <w:rFonts w:ascii="Arial" w:hAnsi="Arial" w:cs="Arial"/>
          <w:snapToGrid w:val="0"/>
          <w:sz w:val="22"/>
          <w:szCs w:val="22"/>
        </w:rPr>
        <w:t xml:space="preserve"> </w:t>
      </w:r>
    </w:p>
    <w:p w14:paraId="755E648D" w14:textId="7389BD4E" w:rsidR="008302A4" w:rsidRPr="007D434C" w:rsidRDefault="00A75244" w:rsidP="008302A4">
      <w:pPr>
        <w:pStyle w:val="Corpotesto"/>
        <w:numPr>
          <w:ilvl w:val="0"/>
          <w:numId w:val="43"/>
        </w:numPr>
        <w:autoSpaceDE w:val="0"/>
        <w:autoSpaceDN w:val="0"/>
        <w:adjustRightInd w:val="0"/>
        <w:ind w:hanging="720"/>
        <w:rPr>
          <w:rFonts w:ascii="Arial" w:hAnsi="Arial" w:cs="Arial"/>
          <w:sz w:val="22"/>
          <w:szCs w:val="22"/>
        </w:rPr>
      </w:pPr>
      <w:r w:rsidRPr="007D434C">
        <w:rPr>
          <w:rFonts w:ascii="Arial" w:hAnsi="Arial" w:cs="Arial"/>
          <w:sz w:val="22"/>
          <w:szCs w:val="22"/>
        </w:rPr>
        <w:t>Allegato 1</w:t>
      </w:r>
      <w:r w:rsidR="008302A4" w:rsidRPr="007D434C">
        <w:rPr>
          <w:rFonts w:ascii="Arial" w:hAnsi="Arial" w:cs="Arial"/>
          <w:sz w:val="22"/>
          <w:szCs w:val="22"/>
        </w:rPr>
        <w:t xml:space="preserve"> </w:t>
      </w:r>
      <w:r w:rsidRPr="007D434C">
        <w:rPr>
          <w:rFonts w:ascii="Arial" w:hAnsi="Arial" w:cs="Arial"/>
          <w:i/>
          <w:iCs/>
          <w:sz w:val="22"/>
          <w:szCs w:val="22"/>
        </w:rPr>
        <w:t>“APIM21_</w:t>
      </w:r>
      <w:r w:rsidR="007D434C" w:rsidRPr="007D434C">
        <w:rPr>
          <w:rFonts w:ascii="Arial" w:hAnsi="Arial" w:cs="Arial"/>
          <w:i/>
          <w:iCs/>
          <w:sz w:val="22"/>
          <w:szCs w:val="22"/>
        </w:rPr>
        <w:t>010</w:t>
      </w:r>
      <w:r w:rsidRPr="007D434C">
        <w:rPr>
          <w:rFonts w:ascii="Arial" w:hAnsi="Arial" w:cs="Arial"/>
          <w:i/>
          <w:iCs/>
          <w:sz w:val="22"/>
          <w:szCs w:val="22"/>
        </w:rPr>
        <w:t>_A01_Specifiche Tecnico-Funzionali e Modalità di Fornitura</w:t>
      </w:r>
      <w:r w:rsidR="008302A4" w:rsidRPr="007D434C">
        <w:rPr>
          <w:rFonts w:ascii="Arial" w:hAnsi="Arial" w:cs="Arial"/>
          <w:i/>
          <w:iCs/>
          <w:sz w:val="22"/>
          <w:szCs w:val="22"/>
        </w:rPr>
        <w:t>”</w:t>
      </w:r>
      <w:r w:rsidR="008302A4" w:rsidRPr="007D434C">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27CFF9C6" w14:textId="77777777" w:rsidR="00C628F8" w:rsidRPr="00F06312" w:rsidRDefault="00C628F8" w:rsidP="00C628F8">
      <w:pPr>
        <w:pStyle w:val="Paragrafoelenco"/>
        <w:numPr>
          <w:ilvl w:val="0"/>
          <w:numId w:val="37"/>
        </w:numPr>
        <w:spacing w:after="120"/>
        <w:jc w:val="both"/>
        <w:rPr>
          <w:rFonts w:ascii="Arial" w:hAnsi="Arial" w:cs="Arial"/>
          <w:sz w:val="22"/>
          <w:szCs w:val="22"/>
        </w:rPr>
      </w:pPr>
      <w:r w:rsidRPr="00F06312">
        <w:rPr>
          <w:rFonts w:ascii="Arial" w:hAnsi="Arial" w:cs="Arial"/>
          <w:sz w:val="22"/>
          <w:szCs w:val="22"/>
        </w:rPr>
        <w:t>L’Amministrazione procedente si riserva la facoltà, qualora lo ritenga necessario, di richiedere eventuali approfondimenti in ordine alla documentazione ricevuta sia in modalità scritta sia mediante audizione, singolarmente condotta, degli operatori economici partecipanti alla presente Consultazione.</w:t>
      </w:r>
    </w:p>
    <w:p w14:paraId="70ADD7C6" w14:textId="77777777" w:rsidR="00C628F8" w:rsidRPr="00F06312" w:rsidRDefault="00C628F8" w:rsidP="00C628F8">
      <w:pPr>
        <w:pStyle w:val="Paragrafoelenco"/>
        <w:numPr>
          <w:ilvl w:val="0"/>
          <w:numId w:val="37"/>
        </w:numPr>
        <w:spacing w:after="120"/>
        <w:jc w:val="both"/>
        <w:rPr>
          <w:rFonts w:ascii="Arial" w:hAnsi="Arial" w:cs="Arial"/>
          <w:sz w:val="22"/>
          <w:szCs w:val="22"/>
        </w:rPr>
      </w:pPr>
      <w:r w:rsidRPr="00F06312">
        <w:rPr>
          <w:rFonts w:ascii="Arial" w:hAnsi="Arial" w:cs="Arial"/>
          <w:sz w:val="22"/>
          <w:szCs w:val="22"/>
        </w:rPr>
        <w:t>Le modalità ed i termini di conduzione dell’eventuale audizione saranno comunicati agli operatori economici interessati in occasione della trasmissione dell’invito a partecipare alla medesima.</w:t>
      </w:r>
    </w:p>
    <w:p w14:paraId="583BC5A2" w14:textId="77777777" w:rsidR="00C628F8" w:rsidRDefault="00C628F8" w:rsidP="00C628F8">
      <w:pPr>
        <w:numPr>
          <w:ilvl w:val="0"/>
          <w:numId w:val="37"/>
        </w:numPr>
        <w:spacing w:after="120"/>
        <w:jc w:val="both"/>
        <w:rPr>
          <w:rFonts w:ascii="Arial" w:hAnsi="Arial" w:cs="Arial"/>
          <w:sz w:val="22"/>
          <w:szCs w:val="22"/>
        </w:rPr>
      </w:pPr>
      <w:r w:rsidRPr="00D40DAD">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w:t>
      </w:r>
      <w:r w:rsidRPr="00041A56">
        <w:rPr>
          <w:rFonts w:ascii="Arial" w:hAnsi="Arial" w:cs="Arial"/>
          <w:sz w:val="22"/>
          <w:szCs w:val="22"/>
        </w:rPr>
        <w:t>stabilito all’art. 9 (Accordo</w:t>
      </w:r>
      <w:r w:rsidRPr="00E304E7">
        <w:rPr>
          <w:rFonts w:ascii="Arial" w:hAnsi="Arial" w:cs="Arial"/>
          <w:sz w:val="22"/>
          <w:szCs w:val="22"/>
        </w:rPr>
        <w:t xml:space="preserve"> di riservatezza)</w:t>
      </w:r>
      <w:r w:rsidRPr="00D40DAD">
        <w:rPr>
          <w:rFonts w:ascii="Arial" w:hAnsi="Arial" w:cs="Arial"/>
          <w:sz w:val="22"/>
          <w:szCs w:val="22"/>
        </w:rPr>
        <w:t xml:space="preserve"> dell’Avviso di indagine</w:t>
      </w:r>
      <w:r>
        <w:rPr>
          <w:rFonts w:ascii="Arial" w:hAnsi="Arial" w:cs="Arial"/>
          <w:sz w:val="22"/>
          <w:szCs w:val="22"/>
        </w:rPr>
        <w:t>.</w:t>
      </w:r>
    </w:p>
    <w:p w14:paraId="0819B7B0" w14:textId="0C0F6F83" w:rsidR="00C628F8" w:rsidRPr="004D160D" w:rsidRDefault="00C628F8" w:rsidP="00C628F8">
      <w:pPr>
        <w:pStyle w:val="Paragrafoelenco"/>
        <w:numPr>
          <w:ilvl w:val="0"/>
          <w:numId w:val="37"/>
        </w:numPr>
        <w:spacing w:after="120"/>
        <w:jc w:val="both"/>
        <w:rPr>
          <w:rFonts w:ascii="Arial" w:hAnsi="Arial" w:cs="Arial"/>
          <w:sz w:val="22"/>
          <w:szCs w:val="22"/>
        </w:rPr>
      </w:pPr>
      <w:bookmarkStart w:id="1" w:name="_Hlk61432087"/>
      <w:r w:rsidRPr="004D160D">
        <w:rPr>
          <w:rFonts w:ascii="Arial" w:hAnsi="Arial" w:cs="Arial"/>
          <w:sz w:val="22"/>
          <w:szCs w:val="22"/>
        </w:rPr>
        <w:t>La presente indagine</w:t>
      </w:r>
      <w:r>
        <w:rPr>
          <w:rFonts w:ascii="Arial" w:hAnsi="Arial" w:cs="Arial"/>
          <w:sz w:val="22"/>
          <w:szCs w:val="22"/>
        </w:rPr>
        <w:t xml:space="preserve"> -</w:t>
      </w:r>
      <w:r w:rsidRPr="004D160D">
        <w:rPr>
          <w:rFonts w:ascii="Arial" w:hAnsi="Arial" w:cs="Arial"/>
          <w:sz w:val="22"/>
          <w:szCs w:val="22"/>
        </w:rPr>
        <w:t xml:space="preserve"> e l’eventuale successivo periodo di sperimentazione</w:t>
      </w:r>
      <w:r>
        <w:rPr>
          <w:rFonts w:ascii="Arial" w:hAnsi="Arial" w:cs="Arial"/>
          <w:sz w:val="22"/>
          <w:szCs w:val="22"/>
        </w:rPr>
        <w:t xml:space="preserve"> -</w:t>
      </w:r>
      <w:r w:rsidRPr="004D160D">
        <w:rPr>
          <w:rFonts w:ascii="Arial" w:hAnsi="Arial" w:cs="Arial"/>
          <w:sz w:val="22"/>
          <w:szCs w:val="22"/>
        </w:rPr>
        <w:t xml:space="preserve"> non </w:t>
      </w:r>
      <w:r>
        <w:rPr>
          <w:rFonts w:ascii="Arial" w:hAnsi="Arial" w:cs="Arial"/>
          <w:sz w:val="22"/>
          <w:szCs w:val="22"/>
        </w:rPr>
        <w:t>è</w:t>
      </w:r>
      <w:r w:rsidRPr="004D160D">
        <w:rPr>
          <w:rFonts w:ascii="Arial" w:hAnsi="Arial" w:cs="Arial"/>
          <w:sz w:val="22"/>
          <w:szCs w:val="22"/>
        </w:rPr>
        <w:t xml:space="preserve"> in alcun modo vincolant</w:t>
      </w:r>
      <w:r>
        <w:rPr>
          <w:rFonts w:ascii="Arial" w:hAnsi="Arial" w:cs="Arial"/>
          <w:sz w:val="22"/>
          <w:szCs w:val="22"/>
        </w:rPr>
        <w:t>e</w:t>
      </w:r>
      <w:r w:rsidRPr="004D160D">
        <w:rPr>
          <w:rFonts w:ascii="Arial" w:hAnsi="Arial" w:cs="Arial"/>
          <w:sz w:val="22"/>
          <w:szCs w:val="22"/>
        </w:rPr>
        <w:t xml:space="preserve"> per il Consorzio in quanto le finalità dell</w:t>
      </w:r>
      <w:r>
        <w:rPr>
          <w:rFonts w:ascii="Arial" w:hAnsi="Arial" w:cs="Arial"/>
          <w:sz w:val="22"/>
          <w:szCs w:val="22"/>
        </w:rPr>
        <w:t>a</w:t>
      </w:r>
      <w:r w:rsidRPr="004D160D">
        <w:rPr>
          <w:rFonts w:ascii="Arial" w:hAnsi="Arial" w:cs="Arial"/>
          <w:sz w:val="22"/>
          <w:szCs w:val="22"/>
        </w:rPr>
        <w:t xml:space="preserve"> stess</w:t>
      </w:r>
      <w:r>
        <w:rPr>
          <w:rFonts w:ascii="Arial" w:hAnsi="Arial" w:cs="Arial"/>
          <w:sz w:val="22"/>
          <w:szCs w:val="22"/>
        </w:rPr>
        <w:t>a</w:t>
      </w:r>
      <w:r w:rsidRPr="004D160D">
        <w:rPr>
          <w:rFonts w:ascii="Arial" w:hAnsi="Arial" w:cs="Arial"/>
          <w:sz w:val="22"/>
          <w:szCs w:val="22"/>
        </w:rPr>
        <w:t xml:space="preserve"> sono meramente informative, ovvero utili a verificare l’esistenza di una eventuale soluzione alternativa e/o innovativa e le relative caratteristiche rispetto alle proprie esigenze. </w:t>
      </w:r>
      <w:r w:rsidRPr="00337941">
        <w:rPr>
          <w:rFonts w:ascii="Arial" w:hAnsi="Arial" w:cs="Arial"/>
          <w:sz w:val="22"/>
          <w:szCs w:val="22"/>
        </w:rPr>
        <w:t>Parimenti il Consorzio si riserva la facoltà di valutare un successivo affidamento ai sensi dell’art. 1 c.2 lett.</w:t>
      </w:r>
      <w:r>
        <w:rPr>
          <w:rFonts w:ascii="Arial" w:hAnsi="Arial" w:cs="Arial"/>
          <w:sz w:val="22"/>
          <w:szCs w:val="22"/>
        </w:rPr>
        <w:t xml:space="preserve"> </w:t>
      </w:r>
      <w:r w:rsidRPr="00337941">
        <w:rPr>
          <w:rFonts w:ascii="Arial" w:hAnsi="Arial" w:cs="Arial"/>
          <w:sz w:val="22"/>
          <w:szCs w:val="22"/>
        </w:rPr>
        <w:t>a) della L. 120/2020</w:t>
      </w:r>
      <w:r>
        <w:rPr>
          <w:rFonts w:ascii="Arial" w:hAnsi="Arial" w:cs="Arial"/>
          <w:sz w:val="22"/>
          <w:szCs w:val="22"/>
        </w:rPr>
        <w:t xml:space="preserve"> e </w:t>
      </w:r>
      <w:proofErr w:type="spellStart"/>
      <w:r>
        <w:rPr>
          <w:rFonts w:ascii="Arial" w:hAnsi="Arial" w:cs="Arial"/>
          <w:sz w:val="22"/>
          <w:szCs w:val="22"/>
        </w:rPr>
        <w:t>s.m.i.</w:t>
      </w:r>
      <w:proofErr w:type="spellEnd"/>
      <w:r w:rsidRPr="00337941">
        <w:rPr>
          <w:rFonts w:ascii="Arial" w:hAnsi="Arial" w:cs="Arial"/>
          <w:sz w:val="22"/>
          <w:szCs w:val="22"/>
        </w:rPr>
        <w:t>, senza alcun obbligo di effettivamente dare corso allo stesso</w:t>
      </w:r>
      <w:r>
        <w:rPr>
          <w:rFonts w:ascii="Arial" w:hAnsi="Arial" w:cs="Arial"/>
          <w:sz w:val="22"/>
          <w:szCs w:val="22"/>
        </w:rPr>
        <w:t>.</w:t>
      </w:r>
    </w:p>
    <w:bookmarkEnd w:id="1"/>
    <w:p w14:paraId="5DA89AA0" w14:textId="473599E7" w:rsidR="00C628F8" w:rsidRPr="004D160D" w:rsidRDefault="00C628F8" w:rsidP="00C628F8">
      <w:pPr>
        <w:pStyle w:val="Paragrafoelenco"/>
        <w:numPr>
          <w:ilvl w:val="0"/>
          <w:numId w:val="37"/>
        </w:numPr>
        <w:spacing w:after="120"/>
        <w:jc w:val="both"/>
        <w:rPr>
          <w:rFonts w:ascii="Arial" w:hAnsi="Arial" w:cs="Arial"/>
          <w:sz w:val="22"/>
          <w:szCs w:val="22"/>
        </w:rPr>
      </w:pPr>
      <w:r w:rsidRPr="004D160D">
        <w:rPr>
          <w:rFonts w:ascii="Arial" w:hAnsi="Arial" w:cs="Arial"/>
          <w:sz w:val="22"/>
          <w:szCs w:val="22"/>
        </w:rPr>
        <w:t xml:space="preserve">La presente Indagine non costituisce, pertanto, un invito ad offrire né un’offerta al pubblico ai sensi dell’art. 1336 c.c. né una promessa al pubblico ai sensi dell’art. 1989 </w:t>
      </w:r>
      <w:proofErr w:type="spellStart"/>
      <w:proofErr w:type="gramStart"/>
      <w:r w:rsidRPr="004D160D">
        <w:rPr>
          <w:rFonts w:ascii="Arial" w:hAnsi="Arial" w:cs="Arial"/>
          <w:sz w:val="22"/>
          <w:szCs w:val="22"/>
        </w:rPr>
        <w:t>c.c..Tale</w:t>
      </w:r>
      <w:proofErr w:type="spellEnd"/>
      <w:proofErr w:type="gramEnd"/>
      <w:r w:rsidRPr="004D160D">
        <w:rPr>
          <w:rFonts w:ascii="Arial" w:hAnsi="Arial" w:cs="Arial"/>
          <w:sz w:val="22"/>
          <w:szCs w:val="22"/>
        </w:rPr>
        <w:t xml:space="preserve"> indagine non può ingenerare negli operatori alcun affidamento sul successivo invito ad un’eventuale procedura. </w:t>
      </w:r>
    </w:p>
    <w:p w14:paraId="2840D51A" w14:textId="77777777" w:rsidR="00C628F8" w:rsidRPr="004D160D" w:rsidRDefault="00C628F8" w:rsidP="00C628F8">
      <w:pPr>
        <w:pStyle w:val="Paragrafoelenco"/>
        <w:numPr>
          <w:ilvl w:val="0"/>
          <w:numId w:val="37"/>
        </w:numPr>
        <w:spacing w:after="120"/>
        <w:jc w:val="both"/>
        <w:rPr>
          <w:rFonts w:ascii="Arial" w:hAnsi="Arial" w:cs="Arial"/>
          <w:sz w:val="22"/>
          <w:szCs w:val="22"/>
        </w:rPr>
      </w:pPr>
      <w:r w:rsidRPr="004D160D">
        <w:rPr>
          <w:rFonts w:ascii="Arial" w:hAnsi="Arial" w:cs="Arial"/>
          <w:sz w:val="22"/>
          <w:szCs w:val="22"/>
        </w:rPr>
        <w:t>L’Amministrazione si riserva</w:t>
      </w:r>
      <w:r>
        <w:rPr>
          <w:rFonts w:ascii="Arial" w:hAnsi="Arial" w:cs="Arial"/>
          <w:sz w:val="22"/>
          <w:szCs w:val="22"/>
        </w:rPr>
        <w:t xml:space="preserve"> pertanto</w:t>
      </w:r>
      <w:r w:rsidRPr="004D160D">
        <w:rPr>
          <w:rFonts w:ascii="Arial" w:hAnsi="Arial" w:cs="Arial"/>
          <w:sz w:val="22"/>
          <w:szCs w:val="22"/>
        </w:rPr>
        <w:t>, fatto salvo quanto sopra esposto in relazione alla facoltà di sperimentazione, di non procedere all’indizione di successiva procedura in relazione all’oggetto della presente Indagine.</w:t>
      </w:r>
    </w:p>
    <w:p w14:paraId="5A3C0C47" w14:textId="77777777" w:rsidR="00C628F8" w:rsidRPr="00BD12FE" w:rsidRDefault="00C628F8" w:rsidP="00C628F8">
      <w:pPr>
        <w:pStyle w:val="Paragrafoelenco"/>
        <w:numPr>
          <w:ilvl w:val="0"/>
          <w:numId w:val="37"/>
        </w:numPr>
        <w:autoSpaceDE w:val="0"/>
        <w:autoSpaceDN w:val="0"/>
        <w:adjustRightInd w:val="0"/>
        <w:spacing w:after="120"/>
        <w:jc w:val="both"/>
        <w:rPr>
          <w:rFonts w:ascii="Arial" w:hAnsi="Arial" w:cs="Arial"/>
          <w:sz w:val="22"/>
          <w:szCs w:val="22"/>
        </w:rPr>
      </w:pPr>
      <w:r w:rsidRPr="00BD12FE">
        <w:rPr>
          <w:rFonts w:ascii="Arial" w:hAnsi="Arial" w:cs="Arial"/>
          <w:sz w:val="22"/>
          <w:szCs w:val="22"/>
        </w:rPr>
        <w:t xml:space="preserve">Non saranno previste forme di indennizzo, rimborso o risarcimento a favore degli eventuali partecipanti. </w:t>
      </w:r>
    </w:p>
    <w:p w14:paraId="4CAFE4B9" w14:textId="77777777" w:rsidR="00C628F8" w:rsidRPr="009A652D" w:rsidRDefault="00C628F8" w:rsidP="00C628F8">
      <w:pPr>
        <w:numPr>
          <w:ilvl w:val="0"/>
          <w:numId w:val="37"/>
        </w:numPr>
        <w:autoSpaceDE w:val="0"/>
        <w:autoSpaceDN w:val="0"/>
        <w:adjustRightInd w:val="0"/>
        <w:spacing w:after="120"/>
        <w:jc w:val="both"/>
        <w:rPr>
          <w:rFonts w:ascii="Arial" w:hAnsi="Arial" w:cs="Arial"/>
          <w:sz w:val="22"/>
          <w:szCs w:val="22"/>
        </w:rPr>
      </w:pPr>
      <w:r w:rsidRPr="00D40DAD">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40DAD">
          <w:rPr>
            <w:rFonts w:ascii="Arial" w:hAnsi="Arial" w:cs="Arial"/>
            <w:sz w:val="22"/>
            <w:szCs w:val="22"/>
          </w:rPr>
          <w:t>www.csipiemonte.it</w:t>
        </w:r>
      </w:hyperlink>
      <w:r w:rsidRPr="00D40DAD">
        <w:rPr>
          <w:rFonts w:ascii="Arial" w:hAnsi="Arial" w:cs="Arial"/>
          <w:iCs/>
          <w:sz w:val="22"/>
          <w:szCs w:val="22"/>
        </w:rPr>
        <w:t xml:space="preserve"> (Sezione Amministrazione Trasparente, sottosezioni Disposizioni generali - Atti generali).</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2"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w:t>
            </w:r>
            <w:proofErr w:type="gramStart"/>
            <w:r w:rsidRPr="002A786A">
              <w:rPr>
                <w:rFonts w:ascii="Arial" w:hAnsi="Arial" w:cs="Arial"/>
              </w:rPr>
              <w:t>email</w:t>
            </w:r>
            <w:proofErr w:type="gramEnd"/>
            <w:r w:rsidRPr="002A786A">
              <w:rPr>
                <w:rFonts w:ascii="Arial" w:hAnsi="Arial" w:cs="Arial"/>
              </w:rPr>
              <w:t xml:space="preserve">: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2"/>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3"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4" w:name="_Hlk6492213"/>
            <w:bookmarkEnd w:id="3"/>
            <w:r w:rsidRPr="002A786A">
              <w:rPr>
                <w:rFonts w:ascii="Arial" w:hAnsi="Arial" w:cs="Arial"/>
              </w:rPr>
              <w:t>e trattati nel rispetto dei principi di correttezza, liceità, minimizzazione dei dati e tutela della riservatezza</w:t>
            </w:r>
            <w:bookmarkEnd w:id="4"/>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5" w:name="_Hlk6492353"/>
            <w:r w:rsidRPr="002A786A">
              <w:rPr>
                <w:rFonts w:ascii="Arial" w:hAnsi="Arial" w:cs="Arial"/>
                <w:b/>
                <w:bCs/>
              </w:rPr>
              <w:lastRenderedPageBreak/>
              <w:t>BASE GIURIDICA DEL TRATTAMENTO</w:t>
            </w:r>
            <w:bookmarkEnd w:id="5"/>
            <w:r w:rsidRPr="002A786A">
              <w:rPr>
                <w:rFonts w:ascii="Arial" w:hAnsi="Arial" w:cs="Arial"/>
              </w:rPr>
              <w:t xml:space="preserve">: il conferimento dei Suoi dati, anche quelli particolari ai sensi dell’art. 10 del GDPR, non è obbligatorio ma è necessario per le finalità sopraindicate. </w:t>
            </w:r>
            <w:bookmarkStart w:id="6"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6"/>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7"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8" w:name="_Hlk6492878"/>
            <w:bookmarkEnd w:id="7"/>
            <w:r w:rsidRPr="002A786A">
              <w:rPr>
                <w:rFonts w:ascii="Arial" w:hAnsi="Arial" w:cs="Arial"/>
              </w:rPr>
              <w:t xml:space="preserve">autorizzati </w:t>
            </w:r>
            <w:proofErr w:type="gramStart"/>
            <w:r w:rsidRPr="002A786A">
              <w:rPr>
                <w:rFonts w:ascii="Arial" w:hAnsi="Arial" w:cs="Arial"/>
              </w:rPr>
              <w:t>ed</w:t>
            </w:r>
            <w:proofErr w:type="gramEnd"/>
            <w:r w:rsidRPr="002A786A">
              <w:rPr>
                <w:rFonts w:ascii="Arial" w:hAnsi="Arial" w:cs="Arial"/>
              </w:rPr>
              <w:t xml:space="preserv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w:t>
            </w:r>
            <w:proofErr w:type="gramStart"/>
            <w:r w:rsidRPr="002A786A">
              <w:rPr>
                <w:rFonts w:ascii="Arial" w:hAnsi="Arial" w:cs="Arial"/>
              </w:rPr>
              <w:t>per</w:t>
            </w:r>
            <w:proofErr w:type="gramEnd"/>
            <w:r w:rsidRPr="002A786A">
              <w:rPr>
                <w:rFonts w:ascii="Arial" w:hAnsi="Arial" w:cs="Arial"/>
              </w:rPr>
              <w:t xml:space="preserve"> tutelare i diritti, le libertà e i legittimi interessi che Le sono riconosciuti per legge in qualità di Interessato;</w:t>
            </w:r>
            <w:bookmarkEnd w:id="8"/>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2A786A">
              <w:rPr>
                <w:rFonts w:ascii="Arial" w:hAnsi="Arial" w:cs="Arial"/>
              </w:rPr>
              <w:t>per la</w:t>
            </w:r>
            <w:proofErr w:type="gramEnd"/>
            <w:r w:rsidRPr="002A786A">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76E9ABEB" w:rsidR="008302A4" w:rsidRPr="002013A2" w:rsidRDefault="007167EC" w:rsidP="009D5D4A">
      <w:pPr>
        <w:numPr>
          <w:ilvl w:val="0"/>
          <w:numId w:val="46"/>
        </w:numPr>
        <w:ind w:left="1077" w:hanging="357"/>
        <w:jc w:val="both"/>
        <w:rPr>
          <w:rFonts w:ascii="Arial" w:hAnsi="Arial" w:cs="Arial"/>
          <w:sz w:val="22"/>
          <w:szCs w:val="22"/>
        </w:rPr>
      </w:pPr>
      <w:r w:rsidRPr="007D434C">
        <w:rPr>
          <w:rFonts w:ascii="Arial" w:hAnsi="Arial" w:cs="Arial"/>
          <w:sz w:val="22"/>
          <w:szCs w:val="22"/>
        </w:rPr>
        <w:t xml:space="preserve">Allegato 1 </w:t>
      </w:r>
      <w:r w:rsidRPr="007D434C">
        <w:rPr>
          <w:rFonts w:ascii="Arial" w:hAnsi="Arial" w:cs="Arial"/>
          <w:i/>
          <w:iCs/>
          <w:sz w:val="22"/>
          <w:szCs w:val="22"/>
        </w:rPr>
        <w:t>“APIM21_</w:t>
      </w:r>
      <w:r w:rsidR="007D434C" w:rsidRPr="007D434C">
        <w:rPr>
          <w:rFonts w:ascii="Arial" w:hAnsi="Arial" w:cs="Arial"/>
          <w:i/>
          <w:iCs/>
          <w:sz w:val="22"/>
          <w:szCs w:val="22"/>
        </w:rPr>
        <w:t>010</w:t>
      </w:r>
      <w:r w:rsidRPr="007D434C">
        <w:rPr>
          <w:rFonts w:ascii="Arial" w:hAnsi="Arial" w:cs="Arial"/>
          <w:i/>
          <w:iCs/>
          <w:sz w:val="22"/>
          <w:szCs w:val="22"/>
        </w:rPr>
        <w:t>_A01_Specifiche Tecnico-Funzionali e Modalità di</w:t>
      </w:r>
      <w:r w:rsidRPr="00A75244">
        <w:rPr>
          <w:rFonts w:ascii="Arial" w:hAnsi="Arial" w:cs="Arial"/>
          <w:i/>
          <w:iCs/>
          <w:sz w:val="22"/>
          <w:szCs w:val="22"/>
        </w:rPr>
        <w:t xml:space="preserve"> Fornitura”</w:t>
      </w:r>
      <w:r w:rsidRPr="007167EC">
        <w:rPr>
          <w:rFonts w:ascii="Arial" w:hAnsi="Arial" w:cs="Arial"/>
          <w:sz w:val="22"/>
          <w:szCs w:val="22"/>
        </w:rPr>
        <w:t>;</w:t>
      </w:r>
    </w:p>
    <w:p w14:paraId="40BE8C47" w14:textId="77777777"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2E5B"/>
    <w:rsid w:val="001269FF"/>
    <w:rsid w:val="00135592"/>
    <w:rsid w:val="00136CD1"/>
    <w:rsid w:val="00155F7F"/>
    <w:rsid w:val="00177B8A"/>
    <w:rsid w:val="00191045"/>
    <w:rsid w:val="001B048B"/>
    <w:rsid w:val="001B2D4B"/>
    <w:rsid w:val="002013A2"/>
    <w:rsid w:val="00210ED7"/>
    <w:rsid w:val="00226577"/>
    <w:rsid w:val="002554E3"/>
    <w:rsid w:val="002577A7"/>
    <w:rsid w:val="002704F6"/>
    <w:rsid w:val="00285E06"/>
    <w:rsid w:val="002A2CAB"/>
    <w:rsid w:val="00310AC2"/>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049EE"/>
    <w:rsid w:val="00631071"/>
    <w:rsid w:val="00651279"/>
    <w:rsid w:val="006B44BA"/>
    <w:rsid w:val="007167EC"/>
    <w:rsid w:val="00731940"/>
    <w:rsid w:val="007614D1"/>
    <w:rsid w:val="00766B4A"/>
    <w:rsid w:val="007A337C"/>
    <w:rsid w:val="007D28F4"/>
    <w:rsid w:val="007D434C"/>
    <w:rsid w:val="007D6DD3"/>
    <w:rsid w:val="007E4D36"/>
    <w:rsid w:val="007F6EA2"/>
    <w:rsid w:val="008302A4"/>
    <w:rsid w:val="00831055"/>
    <w:rsid w:val="0084270A"/>
    <w:rsid w:val="00873016"/>
    <w:rsid w:val="008808AA"/>
    <w:rsid w:val="0088701D"/>
    <w:rsid w:val="00887EBD"/>
    <w:rsid w:val="008940D6"/>
    <w:rsid w:val="008B6B38"/>
    <w:rsid w:val="008C6A59"/>
    <w:rsid w:val="008D5813"/>
    <w:rsid w:val="008D7464"/>
    <w:rsid w:val="008F6DE3"/>
    <w:rsid w:val="00927F23"/>
    <w:rsid w:val="00957576"/>
    <w:rsid w:val="00981707"/>
    <w:rsid w:val="009846C3"/>
    <w:rsid w:val="009D5D4A"/>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628F8"/>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6808">
      <w:bodyDiv w:val="1"/>
      <w:marLeft w:val="0"/>
      <w:marRight w:val="0"/>
      <w:marTop w:val="0"/>
      <w:marBottom w:val="0"/>
      <w:divBdr>
        <w:top w:val="none" w:sz="0" w:space="0" w:color="auto"/>
        <w:left w:val="none" w:sz="0" w:space="0" w:color="auto"/>
        <w:bottom w:val="none" w:sz="0" w:space="0" w:color="auto"/>
        <w:right w:val="none" w:sz="0" w:space="0" w:color="auto"/>
      </w:divBdr>
    </w:div>
    <w:div w:id="5365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1439</Words>
  <Characters>10030</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11447</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L'ALTRELLA Marianna 1145</cp:lastModifiedBy>
  <cp:revision>24</cp:revision>
  <cp:lastPrinted>2019-06-18T07:32:00Z</cp:lastPrinted>
  <dcterms:created xsi:type="dcterms:W3CDTF">2019-06-19T14:41:00Z</dcterms:created>
  <dcterms:modified xsi:type="dcterms:W3CDTF">2022-03-31T09:46:00Z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